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F2E930" w14:textId="77777777" w:rsidR="003063D1" w:rsidRDefault="006B0837">
      <w:pPr>
        <w:spacing w:line="7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《秦皇岛市住房公积金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2021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年年度报告》解读</w:t>
      </w:r>
    </w:p>
    <w:p w14:paraId="45E8A410" w14:textId="77777777" w:rsidR="003063D1" w:rsidRDefault="003063D1">
      <w:pPr>
        <w:ind w:firstLineChars="200" w:firstLine="643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p w14:paraId="08EADA8C" w14:textId="77777777" w:rsidR="003063D1" w:rsidRDefault="006B083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秦皇岛市住房公积金管理中心（以下简称“中心”）严格落实各项惠民政策，突出科学精细管理，加强资金风险防范，强化便民优质服务，着力扩大缴交覆盖面，深入推进信息化建设，为改善广大职工住房条件发挥了重要支撑作用。</w:t>
      </w:r>
    </w:p>
    <w:p w14:paraId="34CEF371" w14:textId="3365E378" w:rsidR="003063D1" w:rsidRDefault="006B083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按照住房建设部、财政部、人民银行《关于健全住房公积金信息披露制度的通知》（建金〔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2015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号）的规定，《秦皇岛市住房公积金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年年度报告》于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月向社会公布，全面披露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年度我市住房公积金业务运行情况，现</w:t>
      </w:r>
      <w:r>
        <w:rPr>
          <w:rFonts w:ascii="仿宋_GB2312" w:eastAsia="仿宋_GB2312" w:hAnsi="仿宋_GB2312" w:cs="仿宋_GB2312" w:hint="eastAsia"/>
          <w:sz w:val="32"/>
          <w:szCs w:val="32"/>
        </w:rPr>
        <w:t>具体解读如下：</w:t>
      </w:r>
    </w:p>
    <w:p w14:paraId="025E13F1" w14:textId="77777777" w:rsidR="003063D1" w:rsidRDefault="006B083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一、住房公积金业务运行保持良好态势</w:t>
      </w:r>
    </w:p>
    <w:p w14:paraId="6E2FA884" w14:textId="77777777" w:rsidR="003063D1" w:rsidRDefault="006B0837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（一）住房公积金归集业务</w:t>
      </w:r>
    </w:p>
    <w:p w14:paraId="3560B0FD" w14:textId="77777777" w:rsidR="003063D1" w:rsidRDefault="006B0837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年，新开户单位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274</w:t>
      </w:r>
      <w:r>
        <w:rPr>
          <w:rFonts w:ascii="仿宋_GB2312" w:eastAsia="仿宋_GB2312" w:hAnsi="仿宋_GB2312" w:cs="仿宋_GB2312" w:hint="eastAsia"/>
          <w:sz w:val="32"/>
          <w:szCs w:val="32"/>
        </w:rPr>
        <w:t>家</w:t>
      </w:r>
      <w:r>
        <w:rPr>
          <w:rFonts w:ascii="仿宋_GB2312" w:eastAsia="仿宋_GB2312" w:hAnsi="仿宋_GB2312" w:cs="仿宋_GB2312" w:hint="eastAsia"/>
          <w:sz w:val="32"/>
          <w:szCs w:val="32"/>
        </w:rPr>
        <w:t>,</w:t>
      </w:r>
      <w:r>
        <w:rPr>
          <w:rFonts w:ascii="仿宋_GB2312" w:eastAsia="仿宋_GB2312" w:hAnsi="仿宋_GB2312" w:cs="仿宋_GB2312" w:hint="eastAsia"/>
          <w:sz w:val="32"/>
          <w:szCs w:val="32"/>
        </w:rPr>
        <w:t>净增单位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28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家，新开户职工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2.62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万人，净增职工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0.43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</w:t>
      </w:r>
      <w:r>
        <w:rPr>
          <w:rFonts w:ascii="仿宋_GB2312" w:eastAsia="仿宋_GB2312" w:hAnsi="仿宋_GB2312" w:cs="仿宋_GB2312" w:hint="eastAsia"/>
          <w:sz w:val="32"/>
          <w:szCs w:val="32"/>
        </w:rPr>
        <w:t>;</w:t>
      </w:r>
      <w:r>
        <w:rPr>
          <w:rFonts w:ascii="仿宋_GB2312" w:eastAsia="仿宋_GB2312" w:hAnsi="仿宋_GB2312" w:cs="仿宋_GB2312" w:hint="eastAsia"/>
          <w:sz w:val="32"/>
          <w:szCs w:val="32"/>
        </w:rPr>
        <w:t>实缴单位</w:t>
      </w:r>
      <w:r>
        <w:rPr>
          <w:rFonts w:ascii="仿宋_GB2312" w:eastAsia="仿宋_GB2312" w:hAnsi="仿宋_GB2312" w:cs="仿宋_GB2312" w:hint="eastAsia"/>
          <w:sz w:val="32"/>
          <w:szCs w:val="32"/>
        </w:rPr>
        <w:t>3559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家，实缴职工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29.93</w:t>
      </w:r>
      <w:r>
        <w:rPr>
          <w:rFonts w:ascii="仿宋_GB2312" w:eastAsia="仿宋_GB2312" w:hAnsi="仿宋_GB2312" w:cs="仿宋_GB2312" w:hint="eastAsia"/>
          <w:sz w:val="32"/>
          <w:szCs w:val="32"/>
        </w:rPr>
        <w:t>万人，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分别同比增长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0.79%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1.46%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年末，缴存总额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416.71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元，比上年末增加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10.43%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；缴存余额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142.56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亿元，同比增长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9.49%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972AD01" w14:textId="77777777" w:rsidR="003063D1" w:rsidRDefault="006B0837">
      <w:pPr>
        <w:adjustRightInd w:val="0"/>
        <w:snapToGrid w:val="0"/>
        <w:spacing w:line="580" w:lineRule="exact"/>
        <w:ind w:firstLineChars="200" w:firstLine="640"/>
        <w:rPr>
          <w:rFonts w:ascii="仿宋" w:eastAsia="仿宋" w:hAnsi="仿宋" w:cs="黑体"/>
          <w:sz w:val="30"/>
          <w:szCs w:val="30"/>
        </w:rPr>
      </w:pPr>
      <w:bookmarkStart w:id="0" w:name="_Hlk62220042"/>
      <w:r>
        <w:rPr>
          <w:rFonts w:ascii="仿宋_GB2312" w:eastAsia="仿宋_GB2312" w:hAnsi="仿宋_GB2312" w:cs="仿宋_GB2312" w:hint="eastAsia"/>
          <w:sz w:val="32"/>
          <w:szCs w:val="32"/>
        </w:rPr>
        <w:t>缴存职工中，国家机关和事业单位占</w:t>
      </w:r>
      <w:r>
        <w:rPr>
          <w:rFonts w:ascii="仿宋_GB2312" w:eastAsia="仿宋_GB2312" w:hAnsi="仿宋_GB2312" w:cs="仿宋_GB2312" w:hint="eastAsia"/>
          <w:sz w:val="32"/>
          <w:szCs w:val="32"/>
        </w:rPr>
        <w:t>43.91%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，国有企业占</w:t>
      </w:r>
      <w:r>
        <w:rPr>
          <w:rFonts w:ascii="仿宋_GB2312" w:eastAsia="仿宋_GB2312" w:hAnsi="仿宋_GB2312" w:cs="仿宋_GB2312" w:hint="eastAsia"/>
          <w:sz w:val="32"/>
          <w:szCs w:val="32"/>
        </w:rPr>
        <w:t>23.43%</w:t>
      </w:r>
      <w:r>
        <w:rPr>
          <w:rFonts w:ascii="仿宋_GB2312" w:eastAsia="仿宋_GB2312" w:hAnsi="仿宋_GB2312" w:cs="仿宋_GB2312" w:hint="eastAsia"/>
          <w:sz w:val="32"/>
          <w:szCs w:val="32"/>
        </w:rPr>
        <w:t>，城镇集体企业占</w:t>
      </w:r>
      <w:r>
        <w:rPr>
          <w:rFonts w:ascii="仿宋_GB2312" w:eastAsia="仿宋_GB2312" w:hAnsi="仿宋_GB2312" w:cs="仿宋_GB2312" w:hint="eastAsia"/>
          <w:sz w:val="32"/>
          <w:szCs w:val="32"/>
        </w:rPr>
        <w:t>0.21%</w:t>
      </w:r>
      <w:r>
        <w:rPr>
          <w:rFonts w:ascii="仿宋_GB2312" w:eastAsia="仿宋_GB2312" w:hAnsi="仿宋_GB2312" w:cs="仿宋_GB2312" w:hint="eastAsia"/>
          <w:sz w:val="32"/>
          <w:szCs w:val="32"/>
        </w:rPr>
        <w:t>，外商投资企业占</w:t>
      </w:r>
      <w:r>
        <w:rPr>
          <w:rFonts w:ascii="仿宋_GB2312" w:eastAsia="仿宋_GB2312" w:hAnsi="仿宋_GB2312" w:cs="仿宋_GB2312" w:hint="eastAsia"/>
          <w:sz w:val="32"/>
          <w:szCs w:val="32"/>
        </w:rPr>
        <w:t>5.06%</w:t>
      </w:r>
      <w:r>
        <w:rPr>
          <w:rFonts w:ascii="仿宋_GB2312" w:eastAsia="仿宋_GB2312" w:hAnsi="仿宋_GB2312" w:cs="仿宋_GB2312" w:hint="eastAsia"/>
          <w:sz w:val="32"/>
          <w:szCs w:val="32"/>
        </w:rPr>
        <w:t>，城镇私营企业及其他城镇企业占</w:t>
      </w:r>
      <w:r>
        <w:rPr>
          <w:rFonts w:ascii="仿宋_GB2312" w:eastAsia="仿宋_GB2312" w:hAnsi="仿宋_GB2312" w:cs="仿宋_GB2312" w:hint="eastAsia"/>
          <w:sz w:val="32"/>
          <w:szCs w:val="32"/>
        </w:rPr>
        <w:t>25.76%</w:t>
      </w:r>
      <w:r>
        <w:rPr>
          <w:rFonts w:ascii="仿宋_GB2312" w:eastAsia="仿宋_GB2312" w:hAnsi="仿宋_GB2312" w:cs="仿宋_GB2312" w:hint="eastAsia"/>
          <w:sz w:val="32"/>
          <w:szCs w:val="32"/>
        </w:rPr>
        <w:t>，民办非企业单位和社会团体占</w:t>
      </w:r>
      <w:r>
        <w:rPr>
          <w:rFonts w:ascii="仿宋_GB2312" w:eastAsia="仿宋_GB2312" w:hAnsi="仿宋_GB2312" w:cs="仿宋_GB2312" w:hint="eastAsia"/>
          <w:sz w:val="32"/>
          <w:szCs w:val="32"/>
        </w:rPr>
        <w:t>0.58%</w:t>
      </w:r>
      <w:r>
        <w:rPr>
          <w:rFonts w:ascii="仿宋_GB2312" w:eastAsia="仿宋_GB2312" w:hAnsi="仿宋_GB2312" w:cs="仿宋_GB2312" w:hint="eastAsia"/>
          <w:sz w:val="32"/>
          <w:szCs w:val="32"/>
        </w:rPr>
        <w:t>，灵活就业人员占</w:t>
      </w:r>
      <w:r>
        <w:rPr>
          <w:rFonts w:ascii="仿宋_GB2312" w:eastAsia="仿宋_GB2312" w:hAnsi="仿宋_GB2312" w:cs="仿宋_GB2312" w:hint="eastAsia"/>
          <w:sz w:val="32"/>
          <w:szCs w:val="32"/>
        </w:rPr>
        <w:t>0.00%</w:t>
      </w:r>
      <w:r>
        <w:rPr>
          <w:rFonts w:ascii="仿宋_GB2312" w:eastAsia="仿宋_GB2312" w:hAnsi="仿宋_GB2312" w:cs="仿宋_GB2312" w:hint="eastAsia"/>
          <w:sz w:val="32"/>
          <w:szCs w:val="32"/>
        </w:rPr>
        <w:t>，其他占</w:t>
      </w:r>
      <w:r>
        <w:rPr>
          <w:rFonts w:ascii="仿宋_GB2312" w:eastAsia="仿宋_GB2312" w:hAnsi="仿宋_GB2312" w:cs="仿宋_GB2312" w:hint="eastAsia"/>
          <w:sz w:val="32"/>
          <w:szCs w:val="32"/>
        </w:rPr>
        <w:t>1.05%</w:t>
      </w:r>
      <w:r>
        <w:rPr>
          <w:rFonts w:ascii="仿宋_GB2312" w:eastAsia="仿宋_GB2312" w:hAnsi="仿宋_GB2312" w:cs="仿宋_GB2312" w:hint="eastAsia"/>
          <w:sz w:val="32"/>
          <w:szCs w:val="32"/>
        </w:rPr>
        <w:t>；缴存人中，中、低收入者占</w:t>
      </w:r>
      <w:r>
        <w:rPr>
          <w:rFonts w:ascii="仿宋_GB2312" w:eastAsia="仿宋_GB2312" w:hAnsi="仿宋_GB2312" w:cs="仿宋_GB2312" w:hint="eastAsia"/>
          <w:sz w:val="32"/>
          <w:szCs w:val="32"/>
        </w:rPr>
        <w:t>98.74%</w:t>
      </w:r>
      <w:r>
        <w:rPr>
          <w:rFonts w:ascii="仿宋_GB2312" w:eastAsia="仿宋_GB2312" w:hAnsi="仿宋_GB2312" w:cs="仿宋_GB2312" w:hint="eastAsia"/>
          <w:sz w:val="32"/>
          <w:szCs w:val="32"/>
        </w:rPr>
        <w:t>，高收入者占</w:t>
      </w:r>
      <w:r>
        <w:rPr>
          <w:rFonts w:ascii="仿宋_GB2312" w:eastAsia="仿宋_GB2312" w:hAnsi="仿宋_GB2312" w:cs="仿宋_GB2312" w:hint="eastAsia"/>
          <w:sz w:val="32"/>
          <w:szCs w:val="32"/>
        </w:rPr>
        <w:t>1.26%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F63EA10" w14:textId="77777777" w:rsidR="003063D1" w:rsidRDefault="006B083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2021</w:t>
      </w:r>
      <w:r>
        <w:rPr>
          <w:rFonts w:ascii="黑体" w:eastAsia="黑体" w:hAnsi="黑体" w:cs="黑体" w:hint="eastAsia"/>
          <w:sz w:val="32"/>
          <w:szCs w:val="32"/>
        </w:rPr>
        <w:t>年住房公积金实缴职工按单位性质分类情况</w:t>
      </w:r>
    </w:p>
    <w:bookmarkEnd w:id="0"/>
    <w:p w14:paraId="57173477" w14:textId="77777777" w:rsidR="003063D1" w:rsidRDefault="006B0837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4601F81" wp14:editId="26A58808">
            <wp:simplePos x="0" y="0"/>
            <wp:positionH relativeFrom="column">
              <wp:posOffset>334645</wp:posOffset>
            </wp:positionH>
            <wp:positionV relativeFrom="paragraph">
              <wp:posOffset>242570</wp:posOffset>
            </wp:positionV>
            <wp:extent cx="4619625" cy="2124710"/>
            <wp:effectExtent l="0" t="0" r="47625" b="46990"/>
            <wp:wrapThrough wrapText="bothSides">
              <wp:wrapPolygon edited="0">
                <wp:start x="0" y="0"/>
                <wp:lineTo x="0" y="21497"/>
                <wp:lineTo x="21555" y="21497"/>
                <wp:lineTo x="21555" y="0"/>
                <wp:lineTo x="0" y="0"/>
              </wp:wrapPolygon>
            </wp:wrapThrough>
            <wp:docPr id="10" name="图表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</w:p>
    <w:p w14:paraId="30448C1A" w14:textId="77777777" w:rsidR="003063D1" w:rsidRDefault="003063D1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14:paraId="50BF973D" w14:textId="77777777" w:rsidR="003063D1" w:rsidRDefault="003063D1">
      <w:pPr>
        <w:spacing w:line="560" w:lineRule="exact"/>
        <w:ind w:firstLineChars="200" w:firstLine="640"/>
        <w:jc w:val="left"/>
        <w:rPr>
          <w:rFonts w:ascii="黑体" w:eastAsia="黑体" w:hAnsi="黑体" w:cs="黑体"/>
          <w:sz w:val="32"/>
          <w:szCs w:val="32"/>
        </w:rPr>
      </w:pPr>
    </w:p>
    <w:p w14:paraId="6119D82C" w14:textId="77777777" w:rsidR="003063D1" w:rsidRDefault="003063D1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37870818" w14:textId="77777777" w:rsidR="003063D1" w:rsidRDefault="003063D1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524E6113" w14:textId="77777777" w:rsidR="003063D1" w:rsidRDefault="003063D1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3EF065F" w14:textId="77777777" w:rsidR="003063D1" w:rsidRDefault="003063D1">
      <w:pPr>
        <w:spacing w:line="560" w:lineRule="exact"/>
        <w:rPr>
          <w:rFonts w:ascii="黑体" w:eastAsia="黑体" w:hAnsi="黑体" w:cs="黑体"/>
          <w:sz w:val="32"/>
          <w:szCs w:val="32"/>
        </w:rPr>
      </w:pPr>
    </w:p>
    <w:p w14:paraId="23D436A4" w14:textId="77777777" w:rsidR="003063D1" w:rsidRDefault="006B0837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年实缴职工不同收入群体占比</w:t>
      </w:r>
    </w:p>
    <w:p w14:paraId="1F40FA09" w14:textId="77777777" w:rsidR="003063D1" w:rsidRDefault="006B08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7607199" wp14:editId="09F2DA7E">
            <wp:simplePos x="0" y="0"/>
            <wp:positionH relativeFrom="column">
              <wp:posOffset>506095</wp:posOffset>
            </wp:positionH>
            <wp:positionV relativeFrom="paragraph">
              <wp:posOffset>71120</wp:posOffset>
            </wp:positionV>
            <wp:extent cx="4781550" cy="2143760"/>
            <wp:effectExtent l="0" t="0" r="0" b="8890"/>
            <wp:wrapThrough wrapText="bothSides">
              <wp:wrapPolygon edited="0">
                <wp:start x="0" y="0"/>
                <wp:lineTo x="0" y="21498"/>
                <wp:lineTo x="21514" y="21498"/>
                <wp:lineTo x="21514" y="0"/>
                <wp:lineTo x="0" y="0"/>
              </wp:wrapPolygon>
            </wp:wrapThrough>
            <wp:docPr id="13" name="图表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>
        <w:rPr>
          <w:rFonts w:ascii="仿宋_GB2312" w:eastAsia="仿宋_GB2312" w:hint="eastAsia"/>
          <w:sz w:val="32"/>
          <w:szCs w:val="32"/>
        </w:rPr>
        <w:t>今</w:t>
      </w:r>
    </w:p>
    <w:p w14:paraId="1AC4F78D" w14:textId="77777777" w:rsidR="003063D1" w:rsidRDefault="003063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11598C41" w14:textId="77777777" w:rsidR="003063D1" w:rsidRDefault="003063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3665DA6" w14:textId="77777777" w:rsidR="003063D1" w:rsidRDefault="003063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79238071" w14:textId="77777777" w:rsidR="003063D1" w:rsidRDefault="003063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620378C4" w14:textId="77777777" w:rsidR="003063D1" w:rsidRDefault="003063D1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14:paraId="3A3CF203" w14:textId="77777777" w:rsidR="003063D1" w:rsidRDefault="006B08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今年以来，受疫情影响，部分企业的公积金基数存在向下调整的情况，中心将归集扩面重点向非公单位拓展、向灵活就业延伸，采取政策宣传、行政推动、服务促进和执法克难等手段深入挖潜扩面，督促单位及时足额为职工缴纳住房公积金，确保实现应缴尽缴，为制度的发挥奠定了坚实的基础。</w:t>
      </w:r>
    </w:p>
    <w:p w14:paraId="4F1D2BC4" w14:textId="77777777" w:rsidR="003063D1" w:rsidRDefault="006B0837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2020-2021</w:t>
      </w:r>
      <w:r>
        <w:rPr>
          <w:rFonts w:ascii="黑体" w:eastAsia="黑体" w:hAnsi="黑体" w:cs="黑体" w:hint="eastAsia"/>
          <w:sz w:val="32"/>
          <w:szCs w:val="32"/>
        </w:rPr>
        <w:t>年住房公积金缴存情况对比图</w:t>
      </w:r>
    </w:p>
    <w:p w14:paraId="2D24CD67" w14:textId="77777777" w:rsidR="003063D1" w:rsidRDefault="006B0837">
      <w:pPr>
        <w:ind w:firstLineChars="400" w:firstLine="128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noProof/>
          <w:sz w:val="32"/>
          <w:szCs w:val="32"/>
        </w:rPr>
        <w:lastRenderedPageBreak/>
        <w:drawing>
          <wp:inline distT="0" distB="0" distL="0" distR="0" wp14:anchorId="44B4DA6E" wp14:editId="692C92D0">
            <wp:extent cx="4429125" cy="2466340"/>
            <wp:effectExtent l="0" t="0" r="9525" b="1016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7E8C207" w14:textId="77777777" w:rsidR="003063D1" w:rsidRDefault="006B08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当年缴存额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39.35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亿元，同比增长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2.66%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年末，缴存总额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416.71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亿元，同比增长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10.43 %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；缴存余额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142.56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亿元，同比增长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9.49 %</w:t>
      </w:r>
      <w:r>
        <w:rPr>
          <w:rFonts w:ascii="仿宋_GB2312" w:eastAsia="仿宋_GB2312" w:hAnsi="仿宋_GB2312" w:hint="eastAsia"/>
          <w:sz w:val="32"/>
          <w:szCs w:val="32"/>
        </w:rPr>
        <w:t>。</w:t>
      </w:r>
    </w:p>
    <w:p w14:paraId="3768900A" w14:textId="77777777" w:rsidR="003063D1" w:rsidRDefault="006B0837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（二）住房公积金提取业务</w:t>
      </w:r>
    </w:p>
    <w:p w14:paraId="416A8F19" w14:textId="77777777" w:rsidR="003063D1" w:rsidRDefault="006B083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2021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年，提取额</w:t>
      </w:r>
      <w:r>
        <w:rPr>
          <w:rFonts w:ascii="仿宋_GB2312" w:eastAsia="仿宋_GB2312" w:hAnsi="仿宋_GB2312"/>
          <w:color w:val="000000"/>
          <w:sz w:val="32"/>
          <w:szCs w:val="32"/>
        </w:rPr>
        <w:t>2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 xml:space="preserve">6.99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亿元，同比下降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6.96%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；提取额占当年缴存额的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68.59%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，比上年减少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7.08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个百分点。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年末，提取总额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274.16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亿元，比上年末增加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10.92%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</w:p>
    <w:p w14:paraId="30008627" w14:textId="77777777" w:rsidR="003063D1" w:rsidRDefault="006B0837">
      <w:pPr>
        <w:spacing w:line="560" w:lineRule="exact"/>
        <w:jc w:val="center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2020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-2021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年住房公积金提取情况对比图</w:t>
      </w:r>
    </w:p>
    <w:p w14:paraId="1F27585E" w14:textId="77777777" w:rsidR="003063D1" w:rsidRDefault="006B0837">
      <w:pPr>
        <w:ind w:firstLineChars="400" w:firstLine="128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noProof/>
          <w:sz w:val="32"/>
          <w:szCs w:val="32"/>
        </w:rPr>
        <w:drawing>
          <wp:inline distT="0" distB="0" distL="0" distR="0" wp14:anchorId="6E092222" wp14:editId="6F6F53C1">
            <wp:extent cx="4142740" cy="2172335"/>
            <wp:effectExtent l="0" t="0" r="10160" b="18415"/>
            <wp:docPr id="2" name="图表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375CB97" w14:textId="77777777" w:rsidR="003063D1" w:rsidRDefault="006B0837">
      <w:pPr>
        <w:spacing w:line="560" w:lineRule="exact"/>
        <w:ind w:firstLineChars="200" w:firstLine="640"/>
        <w:rPr>
          <w:rFonts w:ascii="楷体_GB2312" w:eastAsia="楷体_GB2312" w:hAnsi="楷体_GB2312" w:cs="楷体_GB2312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（三）住房公积金贷款业务</w:t>
      </w:r>
    </w:p>
    <w:p w14:paraId="19103799" w14:textId="77777777" w:rsidR="003063D1" w:rsidRDefault="006B0837">
      <w:pPr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 xml:space="preserve">2021 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年，发放个人住房贷款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0.41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万笔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15.81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亿元，同比分别下降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14.58%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14.49%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</w:p>
    <w:p w14:paraId="1E31B6F6" w14:textId="77777777" w:rsidR="003063D1" w:rsidRDefault="006B0837">
      <w:pPr>
        <w:spacing w:line="560" w:lineRule="exact"/>
        <w:jc w:val="center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2020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-2021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年贷款发放情况对比图</w:t>
      </w:r>
    </w:p>
    <w:p w14:paraId="7444AEB1" w14:textId="77777777" w:rsidR="003063D1" w:rsidRDefault="006B0837">
      <w:pPr>
        <w:ind w:firstLineChars="400" w:firstLine="128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noProof/>
          <w:sz w:val="32"/>
          <w:szCs w:val="32"/>
        </w:rPr>
        <w:drawing>
          <wp:inline distT="0" distB="0" distL="0" distR="0" wp14:anchorId="1CED186A" wp14:editId="4ECE5361">
            <wp:extent cx="4019550" cy="2324100"/>
            <wp:effectExtent l="0" t="0" r="0" b="0"/>
            <wp:docPr id="3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09EEA667" w14:textId="77777777" w:rsidR="003063D1" w:rsidRDefault="006B083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年末，累计发放个人住房贷款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8.13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万笔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221.36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亿元，贷款余额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122.54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亿元，分别比上年末增加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45%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7.69%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、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3.97%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。个人住房贷款余额占缴存余额的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85.96%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，比上年末减少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4.56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个百分点。</w:t>
      </w:r>
    </w:p>
    <w:p w14:paraId="237278B0" w14:textId="77777777" w:rsidR="003063D1" w:rsidRDefault="006B0837">
      <w:pPr>
        <w:spacing w:line="560" w:lineRule="exact"/>
        <w:ind w:firstLineChars="200" w:firstLine="640"/>
        <w:jc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2020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-2021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年个人住房贷款累计发放情况对比表</w:t>
      </w:r>
    </w:p>
    <w:tbl>
      <w:tblPr>
        <w:tblW w:w="8910" w:type="dxa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2829"/>
        <w:gridCol w:w="2496"/>
      </w:tblGrid>
      <w:tr w:rsidR="003063D1" w14:paraId="54A8FAE6" w14:textId="77777777">
        <w:trPr>
          <w:trHeight w:val="660"/>
        </w:trPr>
        <w:tc>
          <w:tcPr>
            <w:tcW w:w="3585" w:type="dxa"/>
          </w:tcPr>
          <w:p w14:paraId="798CC569" w14:textId="77777777" w:rsidR="003063D1" w:rsidRDefault="003063D1">
            <w:pPr>
              <w:spacing w:line="560" w:lineRule="exact"/>
              <w:ind w:firstLineChars="200" w:firstLine="600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</w:p>
        </w:tc>
        <w:tc>
          <w:tcPr>
            <w:tcW w:w="2829" w:type="dxa"/>
          </w:tcPr>
          <w:p w14:paraId="287E464E" w14:textId="77777777" w:rsidR="003063D1" w:rsidRDefault="006B0837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2020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</w:p>
        </w:tc>
        <w:tc>
          <w:tcPr>
            <w:tcW w:w="2496" w:type="dxa"/>
          </w:tcPr>
          <w:p w14:paraId="0F5BED3D" w14:textId="77777777" w:rsidR="003063D1" w:rsidRDefault="006B0837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2021</w:t>
            </w:r>
            <w:r>
              <w:rPr>
                <w:rFonts w:ascii="宋体" w:eastAsia="宋体" w:hAnsi="宋体" w:cs="宋体" w:hint="eastAsia"/>
                <w:sz w:val="30"/>
                <w:szCs w:val="30"/>
              </w:rPr>
              <w:t>年</w:t>
            </w:r>
          </w:p>
        </w:tc>
      </w:tr>
      <w:tr w:rsidR="003063D1" w14:paraId="710B5A10" w14:textId="77777777">
        <w:trPr>
          <w:trHeight w:val="630"/>
        </w:trPr>
        <w:tc>
          <w:tcPr>
            <w:tcW w:w="3585" w:type="dxa"/>
          </w:tcPr>
          <w:p w14:paraId="71AE3D2B" w14:textId="77777777" w:rsidR="003063D1" w:rsidRDefault="006B0837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累计发放笔数（万笔）</w:t>
            </w:r>
          </w:p>
        </w:tc>
        <w:tc>
          <w:tcPr>
            <w:tcW w:w="2829" w:type="dxa"/>
          </w:tcPr>
          <w:p w14:paraId="446D7EE0" w14:textId="77777777" w:rsidR="003063D1" w:rsidRDefault="006B0837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7.72</w:t>
            </w:r>
          </w:p>
        </w:tc>
        <w:tc>
          <w:tcPr>
            <w:tcW w:w="2496" w:type="dxa"/>
          </w:tcPr>
          <w:p w14:paraId="37A932B7" w14:textId="77777777" w:rsidR="003063D1" w:rsidRDefault="006B0837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8.13</w:t>
            </w:r>
          </w:p>
        </w:tc>
      </w:tr>
      <w:tr w:rsidR="003063D1" w14:paraId="25C88CF2" w14:textId="77777777">
        <w:trPr>
          <w:trHeight w:val="735"/>
        </w:trPr>
        <w:tc>
          <w:tcPr>
            <w:tcW w:w="3585" w:type="dxa"/>
          </w:tcPr>
          <w:p w14:paraId="5B8B11DF" w14:textId="77777777" w:rsidR="003063D1" w:rsidRDefault="006B0837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累计发放金额（亿元）</w:t>
            </w:r>
          </w:p>
        </w:tc>
        <w:tc>
          <w:tcPr>
            <w:tcW w:w="2829" w:type="dxa"/>
          </w:tcPr>
          <w:p w14:paraId="01396DCF" w14:textId="77777777" w:rsidR="003063D1" w:rsidRDefault="006B0837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205.56</w:t>
            </w:r>
          </w:p>
        </w:tc>
        <w:tc>
          <w:tcPr>
            <w:tcW w:w="2496" w:type="dxa"/>
          </w:tcPr>
          <w:p w14:paraId="133650DB" w14:textId="77777777" w:rsidR="003063D1" w:rsidRDefault="006B0837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221.36</w:t>
            </w:r>
          </w:p>
        </w:tc>
      </w:tr>
      <w:tr w:rsidR="003063D1" w14:paraId="1913D55C" w14:textId="77777777">
        <w:trPr>
          <w:trHeight w:val="609"/>
        </w:trPr>
        <w:tc>
          <w:tcPr>
            <w:tcW w:w="3585" w:type="dxa"/>
          </w:tcPr>
          <w:p w14:paraId="19D3E56A" w14:textId="77777777" w:rsidR="003063D1" w:rsidRDefault="006B0837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贷款余额（亿元）</w:t>
            </w:r>
          </w:p>
        </w:tc>
        <w:tc>
          <w:tcPr>
            <w:tcW w:w="2829" w:type="dxa"/>
          </w:tcPr>
          <w:p w14:paraId="7114C5E5" w14:textId="77777777" w:rsidR="003063D1" w:rsidRDefault="006B0837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117.86</w:t>
            </w:r>
          </w:p>
        </w:tc>
        <w:tc>
          <w:tcPr>
            <w:tcW w:w="2496" w:type="dxa"/>
          </w:tcPr>
          <w:p w14:paraId="44F8D518" w14:textId="77777777" w:rsidR="003063D1" w:rsidRDefault="006B0837">
            <w:pPr>
              <w:spacing w:line="560" w:lineRule="exact"/>
              <w:jc w:val="center"/>
              <w:rPr>
                <w:rFonts w:ascii="宋体" w:eastAsia="宋体" w:hAnsi="宋体" w:cs="宋体"/>
                <w:sz w:val="30"/>
                <w:szCs w:val="30"/>
              </w:rPr>
            </w:pPr>
            <w:r>
              <w:rPr>
                <w:rFonts w:ascii="宋体" w:eastAsia="宋体" w:hAnsi="宋体" w:cs="宋体" w:hint="eastAsia"/>
                <w:sz w:val="30"/>
                <w:szCs w:val="30"/>
              </w:rPr>
              <w:t>122.54</w:t>
            </w:r>
          </w:p>
        </w:tc>
      </w:tr>
    </w:tbl>
    <w:p w14:paraId="28ECE385" w14:textId="77777777" w:rsidR="003063D1" w:rsidRDefault="006B0837">
      <w:pPr>
        <w:adjustRightInd w:val="0"/>
        <w:snapToGrid w:val="0"/>
        <w:spacing w:line="560" w:lineRule="exact"/>
        <w:ind w:leftChars="304" w:left="638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年受到疫情</w:t>
      </w:r>
      <w:r>
        <w:rPr>
          <w:rFonts w:ascii="仿宋_GB2312" w:eastAsia="仿宋_GB2312" w:hAnsi="仿宋_GB2312"/>
          <w:color w:val="000000"/>
          <w:sz w:val="32"/>
          <w:szCs w:val="32"/>
        </w:rPr>
        <w:t>影响，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中心</w:t>
      </w:r>
      <w:r>
        <w:rPr>
          <w:rFonts w:ascii="仿宋_GB2312" w:eastAsia="仿宋_GB2312" w:hAnsi="仿宋_GB2312"/>
          <w:color w:val="000000"/>
          <w:sz w:val="32"/>
          <w:szCs w:val="32"/>
        </w:rPr>
        <w:t>贷款业务量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较</w:t>
      </w:r>
      <w:r>
        <w:rPr>
          <w:rFonts w:ascii="仿宋_GB2312" w:eastAsia="仿宋_GB2312" w:hAnsi="仿宋_GB2312"/>
          <w:color w:val="000000"/>
          <w:sz w:val="32"/>
          <w:szCs w:val="32"/>
        </w:rPr>
        <w:t>去年同期降低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二、增值收益支持廉租住房建设成效显著</w:t>
      </w:r>
    </w:p>
    <w:p w14:paraId="22E12887" w14:textId="77777777" w:rsidR="003063D1" w:rsidRDefault="006B083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color w:val="000000"/>
          <w:sz w:val="32"/>
          <w:szCs w:val="32"/>
        </w:rPr>
      </w:pPr>
      <w:r>
        <w:rPr>
          <w:rFonts w:ascii="仿宋_GB2312" w:eastAsia="仿宋_GB2312" w:hAnsi="仿宋_GB2312" w:hint="eastAsia"/>
          <w:color w:val="000000"/>
          <w:sz w:val="32"/>
          <w:szCs w:val="32"/>
        </w:rPr>
        <w:t>2021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年，实现增值收益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19634.27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万元，同比下降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4.35%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lastRenderedPageBreak/>
        <w:t>增值收益率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1.44%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，比上年减少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0.18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个百分点。提取贷款风险准备金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467.87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万元，提取管理费用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1962.89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万元，提取城市廉租住房（公共租赁住房）建设补充资金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17203.51</w:t>
      </w:r>
      <w:r>
        <w:rPr>
          <w:rFonts w:ascii="仿宋_GB2312" w:eastAsia="仿宋_GB2312" w:hAnsi="仿宋_GB2312" w:hint="eastAsia"/>
          <w:color w:val="000000"/>
          <w:sz w:val="32"/>
          <w:szCs w:val="32"/>
        </w:rPr>
        <w:t>万元。</w:t>
      </w:r>
    </w:p>
    <w:p w14:paraId="32DC9A43" w14:textId="77777777" w:rsidR="003063D1" w:rsidRDefault="006B0837">
      <w:pPr>
        <w:adjustRightInd w:val="0"/>
        <w:snapToGrid w:val="0"/>
        <w:spacing w:line="58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年增值收益分配占比图</w:t>
      </w:r>
    </w:p>
    <w:p w14:paraId="5416C04D" w14:textId="77777777" w:rsidR="003063D1" w:rsidRDefault="006B0837">
      <w:pPr>
        <w:ind w:firstLineChars="400" w:firstLine="128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noProof/>
          <w:sz w:val="32"/>
          <w:szCs w:val="32"/>
        </w:rPr>
        <w:drawing>
          <wp:inline distT="0" distB="0" distL="0" distR="0" wp14:anchorId="5C6184E8" wp14:editId="24349BDD">
            <wp:extent cx="3913505" cy="2657475"/>
            <wp:effectExtent l="0" t="0" r="10795" b="9525"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07DC1A26" w14:textId="77777777" w:rsidR="003063D1" w:rsidRDefault="006B083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 xml:space="preserve">2021 </w:t>
      </w:r>
      <w:r>
        <w:rPr>
          <w:rFonts w:ascii="仿宋_GB2312" w:eastAsia="仿宋_GB2312" w:hAnsi="仿宋_GB2312" w:hint="eastAsia"/>
          <w:sz w:val="32"/>
          <w:szCs w:val="32"/>
        </w:rPr>
        <w:t>年，上交财政管理费用</w:t>
      </w:r>
      <w:r>
        <w:rPr>
          <w:rFonts w:ascii="仿宋_GB2312" w:eastAsia="仿宋_GB2312" w:hAnsi="仿宋_GB2312" w:hint="eastAsia"/>
          <w:sz w:val="32"/>
          <w:szCs w:val="32"/>
        </w:rPr>
        <w:t>2124.47</w:t>
      </w:r>
      <w:r>
        <w:rPr>
          <w:rFonts w:ascii="仿宋_GB2312" w:eastAsia="仿宋_GB2312" w:hAnsi="仿宋_GB2312" w:hint="eastAsia"/>
          <w:sz w:val="32"/>
          <w:szCs w:val="32"/>
        </w:rPr>
        <w:t>万元。上缴财政城市廉租住房（公共租赁住房）建设补充资金</w:t>
      </w:r>
      <w:r>
        <w:rPr>
          <w:rFonts w:ascii="仿宋_GB2312" w:eastAsia="仿宋_GB2312" w:hAnsi="仿宋_GB2312" w:hint="eastAsia"/>
          <w:sz w:val="32"/>
          <w:szCs w:val="32"/>
        </w:rPr>
        <w:t>17635.40</w:t>
      </w:r>
      <w:r>
        <w:rPr>
          <w:rFonts w:ascii="仿宋_GB2312" w:eastAsia="仿宋_GB2312" w:hAnsi="仿宋_GB2312" w:hint="eastAsia"/>
          <w:sz w:val="32"/>
          <w:szCs w:val="32"/>
        </w:rPr>
        <w:t>万元。贷款风险准备金余额</w:t>
      </w:r>
      <w:r>
        <w:rPr>
          <w:rFonts w:ascii="仿宋_GB2312" w:eastAsia="仿宋_GB2312" w:hAnsi="仿宋_GB2312" w:hint="eastAsia"/>
          <w:sz w:val="32"/>
          <w:szCs w:val="32"/>
        </w:rPr>
        <w:t>12253.62</w:t>
      </w:r>
      <w:r>
        <w:rPr>
          <w:rFonts w:ascii="仿宋_GB2312" w:eastAsia="仿宋_GB2312" w:hAnsi="仿宋_GB2312" w:hint="eastAsia"/>
          <w:sz w:val="32"/>
          <w:szCs w:val="32"/>
        </w:rPr>
        <w:t>万元。累计提取城市廉租住房（公共租赁住房）建设补充资金</w:t>
      </w:r>
      <w:r>
        <w:rPr>
          <w:rFonts w:ascii="仿宋_GB2312" w:eastAsia="仿宋_GB2312" w:hAnsi="仿宋_GB2312" w:hint="eastAsia"/>
          <w:sz w:val="32"/>
          <w:szCs w:val="32"/>
        </w:rPr>
        <w:t>167454.11</w:t>
      </w:r>
      <w:r>
        <w:rPr>
          <w:rFonts w:ascii="仿宋_GB2312" w:eastAsia="仿宋_GB2312" w:hAnsi="仿宋_GB2312" w:hint="eastAsia"/>
          <w:sz w:val="32"/>
          <w:szCs w:val="32"/>
        </w:rPr>
        <w:t>万元。</w:t>
      </w:r>
    </w:p>
    <w:p w14:paraId="21E3E4EB" w14:textId="77777777" w:rsidR="003063D1" w:rsidRDefault="006B0837">
      <w:pPr>
        <w:spacing w:line="56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三、经济社会效益进一步彰显</w:t>
      </w:r>
    </w:p>
    <w:p w14:paraId="3ED1DF4B" w14:textId="77777777" w:rsidR="003063D1" w:rsidRDefault="006B0837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（一）归集业务平稳增长，推动公积金业务发展</w:t>
      </w:r>
    </w:p>
    <w:p w14:paraId="14700482" w14:textId="77777777" w:rsidR="003063D1" w:rsidRDefault="006B0837">
      <w:pPr>
        <w:spacing w:line="560" w:lineRule="exact"/>
        <w:ind w:firstLineChars="200" w:firstLine="640"/>
        <w:rPr>
          <w:rFonts w:ascii="仿宋_GB2312" w:eastAsia="仿宋_GB2312" w:hAnsi="仿宋"/>
          <w:color w:val="FF0000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加大扩面征缴力度，坚持不懈推进制度扩面，将政策宣传与依法扩面相结合，进一步完善归集扩面模式，加大工作力度，加快推进非公企业、个体工商户和灵活就业人员缴存建制步伐。</w:t>
      </w:r>
    </w:p>
    <w:p w14:paraId="2869B4E9" w14:textId="77777777" w:rsidR="003063D1" w:rsidRDefault="006B0837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（二）有力支持职工住房消费</w:t>
      </w:r>
    </w:p>
    <w:p w14:paraId="7A4E25A2" w14:textId="77777777" w:rsidR="003063D1" w:rsidRDefault="006B0837">
      <w:pPr>
        <w:adjustRightInd w:val="0"/>
        <w:snapToGrid w:val="0"/>
        <w:spacing w:line="560" w:lineRule="exact"/>
        <w:ind w:firstLineChars="200" w:firstLine="640"/>
        <w:rPr>
          <w:rFonts w:ascii="黑体" w:eastAsia="黑体" w:hAnsi="黑体" w:cs="黑体"/>
          <w:sz w:val="30"/>
          <w:szCs w:val="30"/>
        </w:rPr>
      </w:pPr>
      <w:r>
        <w:rPr>
          <w:rFonts w:ascii="仿宋_GB2312" w:eastAsia="仿宋_GB2312" w:hint="eastAsia"/>
          <w:sz w:val="32"/>
          <w:szCs w:val="32"/>
        </w:rPr>
        <w:t>2021</w:t>
      </w:r>
      <w:r>
        <w:rPr>
          <w:rFonts w:ascii="仿宋_GB2312" w:eastAsia="仿宋_GB2312" w:hint="eastAsia"/>
          <w:sz w:val="32"/>
          <w:szCs w:val="32"/>
        </w:rPr>
        <w:t>年提取</w:t>
      </w:r>
      <w:r>
        <w:rPr>
          <w:rFonts w:ascii="仿宋" w:eastAsia="仿宋" w:hAnsi="仿宋" w:cs="黑体" w:hint="eastAsia"/>
          <w:sz w:val="30"/>
          <w:szCs w:val="30"/>
        </w:rPr>
        <w:t>26.99</w:t>
      </w:r>
      <w:r>
        <w:rPr>
          <w:rFonts w:ascii="仿宋_GB2312" w:eastAsia="仿宋_GB2312" w:hint="eastAsia"/>
          <w:sz w:val="32"/>
          <w:szCs w:val="32"/>
        </w:rPr>
        <w:t>亿元中，住房消费提取占</w:t>
      </w:r>
      <w:r>
        <w:rPr>
          <w:rFonts w:ascii="仿宋_GB2312" w:eastAsia="仿宋_GB2312"/>
          <w:sz w:val="32"/>
          <w:szCs w:val="32"/>
        </w:rPr>
        <w:t>73.</w:t>
      </w:r>
      <w:r>
        <w:rPr>
          <w:rFonts w:ascii="仿宋_GB2312" w:eastAsia="仿宋_GB2312" w:hint="eastAsia"/>
          <w:sz w:val="32"/>
          <w:szCs w:val="32"/>
        </w:rPr>
        <w:t>37 %</w:t>
      </w:r>
      <w:r>
        <w:rPr>
          <w:rFonts w:ascii="仿宋_GB2312" w:eastAsia="仿宋_GB2312" w:hint="eastAsia"/>
          <w:sz w:val="32"/>
          <w:szCs w:val="32"/>
        </w:rPr>
        <w:t>（购买、</w:t>
      </w:r>
      <w:r>
        <w:rPr>
          <w:rFonts w:ascii="仿宋_GB2312" w:eastAsia="仿宋_GB2312" w:hint="eastAsia"/>
          <w:sz w:val="32"/>
          <w:szCs w:val="32"/>
        </w:rPr>
        <w:lastRenderedPageBreak/>
        <w:t>建造、翻建、大修自住住房占</w:t>
      </w:r>
      <w:r>
        <w:rPr>
          <w:rFonts w:ascii="仿宋" w:eastAsia="仿宋" w:hAnsi="仿宋" w:cs="黑体" w:hint="eastAsia"/>
          <w:sz w:val="30"/>
          <w:szCs w:val="30"/>
        </w:rPr>
        <w:t>25.67%</w:t>
      </w:r>
      <w:r>
        <w:rPr>
          <w:rFonts w:ascii="仿宋_GB2312" w:eastAsia="仿宋_GB2312" w:hint="eastAsia"/>
          <w:sz w:val="32"/>
          <w:szCs w:val="32"/>
        </w:rPr>
        <w:t>，偿还购房贷款本息占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" w:eastAsia="仿宋" w:hAnsi="仿宋" w:cs="黑体" w:hint="eastAsia"/>
          <w:sz w:val="30"/>
          <w:szCs w:val="30"/>
        </w:rPr>
        <w:t>46.17%</w:t>
      </w:r>
      <w:r>
        <w:rPr>
          <w:rFonts w:ascii="仿宋_GB2312" w:eastAsia="仿宋_GB2312" w:hint="eastAsia"/>
          <w:sz w:val="32"/>
          <w:szCs w:val="32"/>
        </w:rPr>
        <w:t>，租赁住房占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" w:eastAsia="仿宋" w:hAnsi="仿宋" w:cs="黑体" w:hint="eastAsia"/>
          <w:sz w:val="30"/>
          <w:szCs w:val="30"/>
        </w:rPr>
        <w:t>1.53%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;</w:t>
      </w:r>
      <w:r>
        <w:rPr>
          <w:rFonts w:ascii="仿宋_GB2312" w:eastAsia="仿宋_GB2312" w:hint="eastAsia"/>
          <w:sz w:val="32"/>
          <w:szCs w:val="32"/>
        </w:rPr>
        <w:t>非住房消费提取占</w:t>
      </w:r>
      <w:r>
        <w:rPr>
          <w:rFonts w:ascii="仿宋_GB2312" w:eastAsia="仿宋_GB2312"/>
          <w:sz w:val="32"/>
          <w:szCs w:val="32"/>
        </w:rPr>
        <w:t>26.</w:t>
      </w:r>
      <w:r>
        <w:rPr>
          <w:rFonts w:ascii="仿宋_GB2312" w:eastAsia="仿宋_GB2312" w:hint="eastAsia"/>
          <w:sz w:val="32"/>
          <w:szCs w:val="32"/>
        </w:rPr>
        <w:t>63 %</w:t>
      </w:r>
      <w:r>
        <w:rPr>
          <w:rFonts w:ascii="仿宋_GB2312" w:eastAsia="仿宋_GB2312" w:hint="eastAsia"/>
          <w:sz w:val="32"/>
          <w:szCs w:val="32"/>
        </w:rPr>
        <w:t>（离休和退休提取占</w:t>
      </w:r>
      <w:r>
        <w:rPr>
          <w:rFonts w:ascii="仿宋" w:eastAsia="仿宋" w:hAnsi="仿宋" w:cs="黑体" w:hint="eastAsia"/>
          <w:sz w:val="30"/>
          <w:szCs w:val="30"/>
        </w:rPr>
        <w:t>16.68%</w:t>
      </w:r>
      <w:r>
        <w:rPr>
          <w:rFonts w:ascii="仿宋_GB2312" w:eastAsia="仿宋_GB2312" w:hint="eastAsia"/>
          <w:sz w:val="32"/>
          <w:szCs w:val="32"/>
        </w:rPr>
        <w:t>，其他占</w:t>
      </w:r>
      <w:r>
        <w:rPr>
          <w:rFonts w:ascii="仿宋_GB2312" w:eastAsia="仿宋_GB2312" w:hint="eastAsia"/>
          <w:sz w:val="32"/>
          <w:szCs w:val="32"/>
        </w:rPr>
        <w:t xml:space="preserve"> </w:t>
      </w:r>
      <w:r>
        <w:rPr>
          <w:rFonts w:ascii="仿宋" w:eastAsia="仿宋" w:hAnsi="仿宋" w:cs="黑体" w:hint="eastAsia"/>
          <w:sz w:val="30"/>
          <w:szCs w:val="30"/>
        </w:rPr>
        <w:t>9.95%</w:t>
      </w:r>
      <w:r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2306B3A3" w14:textId="77777777" w:rsidR="003063D1" w:rsidRDefault="006B083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年住房公积金住房消费提取占比图</w:t>
      </w:r>
    </w:p>
    <w:p w14:paraId="53262A63" w14:textId="77777777" w:rsidR="003063D1" w:rsidRDefault="006B0837">
      <w:pPr>
        <w:ind w:firstLineChars="400" w:firstLine="1280"/>
        <w:jc w:val="left"/>
        <w:rPr>
          <w:rFonts w:ascii="仿宋" w:eastAsia="仿宋" w:hAnsi="仿宋" w:cs="黑体"/>
          <w:sz w:val="32"/>
          <w:szCs w:val="32"/>
        </w:rPr>
      </w:pPr>
      <w:r>
        <w:rPr>
          <w:rFonts w:ascii="仿宋" w:eastAsia="仿宋" w:hAnsi="仿宋" w:cs="黑体" w:hint="eastAsia"/>
          <w:noProof/>
          <w:sz w:val="32"/>
          <w:szCs w:val="32"/>
        </w:rPr>
        <w:drawing>
          <wp:inline distT="0" distB="0" distL="0" distR="0" wp14:anchorId="114C3020" wp14:editId="32DEF000">
            <wp:extent cx="3695700" cy="2571750"/>
            <wp:effectExtent l="0" t="0" r="0" b="0"/>
            <wp:docPr id="8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A34FE50" w14:textId="77777777" w:rsidR="003063D1" w:rsidRDefault="006B0837">
      <w:pPr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2021</w:t>
      </w:r>
      <w:r>
        <w:rPr>
          <w:rFonts w:ascii="黑体" w:eastAsia="黑体" w:hAnsi="黑体" w:cs="黑体" w:hint="eastAsia"/>
          <w:sz w:val="32"/>
          <w:szCs w:val="32"/>
        </w:rPr>
        <w:t>年住房公积金非住房消费提取占比图</w:t>
      </w:r>
    </w:p>
    <w:p w14:paraId="5E0D47E9" w14:textId="77777777" w:rsidR="003063D1" w:rsidRDefault="006B0837">
      <w:pPr>
        <w:ind w:firstLineChars="400" w:firstLine="128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noProof/>
          <w:sz w:val="32"/>
          <w:szCs w:val="32"/>
        </w:rPr>
        <w:drawing>
          <wp:inline distT="0" distB="0" distL="0" distR="0" wp14:anchorId="2DAA0891" wp14:editId="6F1770F9">
            <wp:extent cx="3858260" cy="2339975"/>
            <wp:effectExtent l="0" t="0" r="8890" b="3175"/>
            <wp:docPr id="9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3E8C916F" w14:textId="77777777" w:rsidR="003063D1" w:rsidRDefault="006B0837">
      <w:pPr>
        <w:spacing w:line="560" w:lineRule="exact"/>
        <w:ind w:firstLineChars="200" w:firstLine="640"/>
        <w:rPr>
          <w:rFonts w:ascii="仿宋_GB2312" w:eastAsia="仿宋_GB2312" w:hAnsi="宋体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2021</w:t>
      </w:r>
      <w:r>
        <w:rPr>
          <w:rFonts w:ascii="仿宋_GB2312" w:eastAsia="仿宋_GB2312" w:hAnsi="宋体" w:hint="eastAsia"/>
          <w:sz w:val="32"/>
          <w:szCs w:val="32"/>
        </w:rPr>
        <w:t>年</w:t>
      </w:r>
      <w:r>
        <w:rPr>
          <w:rFonts w:ascii="仿宋_GB2312" w:eastAsia="仿宋_GB2312" w:hAnsi="宋体" w:hint="eastAsia"/>
          <w:sz w:val="32"/>
          <w:szCs w:val="32"/>
        </w:rPr>
        <w:t>，</w:t>
      </w:r>
      <w:r>
        <w:rPr>
          <w:rFonts w:ascii="仿宋_GB2312" w:eastAsia="仿宋_GB2312" w:hAnsi="宋体" w:hint="eastAsia"/>
          <w:sz w:val="32"/>
          <w:szCs w:val="32"/>
        </w:rPr>
        <w:t>支持职工购建房</w:t>
      </w:r>
      <w:r>
        <w:rPr>
          <w:rFonts w:ascii="仿宋_GB2312" w:eastAsia="仿宋_GB2312" w:hAnsi="宋体" w:hint="eastAsia"/>
          <w:sz w:val="32"/>
          <w:szCs w:val="32"/>
        </w:rPr>
        <w:t>42.16</w:t>
      </w:r>
      <w:r>
        <w:rPr>
          <w:rFonts w:ascii="仿宋_GB2312" w:eastAsia="仿宋_GB2312" w:hAnsi="宋体" w:hint="eastAsia"/>
          <w:sz w:val="32"/>
          <w:szCs w:val="32"/>
        </w:rPr>
        <w:t>万平方米，年末个人住房贷款市场占有率为</w:t>
      </w:r>
      <w:r>
        <w:rPr>
          <w:rFonts w:ascii="仿宋_GB2312" w:eastAsia="仿宋_GB2312" w:hAnsi="宋体" w:hint="eastAsia"/>
          <w:sz w:val="32"/>
          <w:szCs w:val="32"/>
        </w:rPr>
        <w:t>18.79%</w:t>
      </w:r>
      <w:r>
        <w:rPr>
          <w:rFonts w:ascii="仿宋_GB2312" w:eastAsia="仿宋_GB2312" w:hAnsi="宋体" w:hint="eastAsia"/>
          <w:sz w:val="32"/>
          <w:szCs w:val="32"/>
        </w:rPr>
        <w:t>，比上年末增加</w:t>
      </w:r>
      <w:r>
        <w:rPr>
          <w:rFonts w:ascii="仿宋_GB2312" w:eastAsia="仿宋_GB2312" w:hAnsi="宋体" w:hint="eastAsia"/>
          <w:sz w:val="32"/>
          <w:szCs w:val="32"/>
        </w:rPr>
        <w:t>9.48</w:t>
      </w:r>
      <w:r>
        <w:rPr>
          <w:rFonts w:ascii="仿宋_GB2312" w:eastAsia="仿宋_GB2312" w:hAnsi="宋体" w:hint="eastAsia"/>
          <w:sz w:val="32"/>
          <w:szCs w:val="32"/>
        </w:rPr>
        <w:t>个百分点。通过申请住房公积金个人住房贷款，可节约职工购房利息支出</w:t>
      </w:r>
      <w:r>
        <w:rPr>
          <w:rFonts w:ascii="仿宋_GB2312" w:eastAsia="仿宋_GB2312" w:hAnsi="宋体" w:hint="eastAsia"/>
          <w:sz w:val="32"/>
          <w:szCs w:val="32"/>
        </w:rPr>
        <w:lastRenderedPageBreak/>
        <w:t>32149.46</w:t>
      </w:r>
      <w:r>
        <w:rPr>
          <w:rFonts w:ascii="仿宋_GB2312" w:eastAsia="仿宋_GB2312" w:hAnsi="宋体" w:hint="eastAsia"/>
          <w:sz w:val="32"/>
          <w:szCs w:val="32"/>
        </w:rPr>
        <w:t>万元。</w:t>
      </w:r>
    </w:p>
    <w:p w14:paraId="31B4165C" w14:textId="77777777" w:rsidR="003063D1" w:rsidRDefault="006B0837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2020-2021</w:t>
      </w:r>
      <w:r>
        <w:rPr>
          <w:rFonts w:ascii="黑体" w:eastAsia="黑体" w:hAnsi="黑体" w:cs="黑体" w:hint="eastAsia"/>
          <w:sz w:val="32"/>
          <w:szCs w:val="32"/>
        </w:rPr>
        <w:t>年住房公积金社会效益对比图</w:t>
      </w:r>
    </w:p>
    <w:p w14:paraId="64CA8263" w14:textId="77777777" w:rsidR="003063D1" w:rsidRDefault="006B0837">
      <w:pPr>
        <w:ind w:firstLineChars="400" w:firstLine="128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noProof/>
          <w:sz w:val="32"/>
          <w:szCs w:val="32"/>
        </w:rPr>
        <w:drawing>
          <wp:inline distT="0" distB="0" distL="0" distR="0" wp14:anchorId="7155F98A" wp14:editId="0A53115B">
            <wp:extent cx="4161790" cy="2419350"/>
            <wp:effectExtent l="0" t="0" r="10160" b="0"/>
            <wp:docPr id="11" name="图表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47F90E4B" w14:textId="77777777" w:rsidR="003063D1" w:rsidRDefault="006B0837">
      <w:pPr>
        <w:spacing w:line="560" w:lineRule="exact"/>
        <w:ind w:firstLineChars="200" w:firstLine="640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（三）充分发挥住房保障作用</w:t>
      </w:r>
    </w:p>
    <w:p w14:paraId="38A63687" w14:textId="77777777" w:rsidR="003063D1" w:rsidRDefault="006B0837">
      <w:pPr>
        <w:adjustRightInd w:val="0"/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购房建筑面积</w:t>
      </w:r>
      <w:r>
        <w:rPr>
          <w:rFonts w:ascii="仿宋_GB2312" w:eastAsia="仿宋_GB2312" w:hint="eastAsia"/>
          <w:sz w:val="32"/>
          <w:szCs w:val="32"/>
        </w:rPr>
        <w:t>90</w:t>
      </w:r>
      <w:r>
        <w:rPr>
          <w:rFonts w:ascii="仿宋_GB2312" w:eastAsia="仿宋_GB2312" w:hint="eastAsia"/>
          <w:sz w:val="32"/>
          <w:szCs w:val="32"/>
        </w:rPr>
        <w:t>（含）平方米以下占</w:t>
      </w:r>
      <w:r>
        <w:rPr>
          <w:rFonts w:ascii="仿宋_GB2312" w:eastAsia="仿宋_GB2312" w:hint="eastAsia"/>
          <w:sz w:val="32"/>
          <w:szCs w:val="32"/>
        </w:rPr>
        <w:t>32.28%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90-144</w:t>
      </w:r>
      <w:r>
        <w:rPr>
          <w:rFonts w:ascii="仿宋_GB2312" w:eastAsia="仿宋_GB2312" w:hint="eastAsia"/>
          <w:sz w:val="32"/>
          <w:szCs w:val="32"/>
        </w:rPr>
        <w:t>（含）平方米占</w:t>
      </w:r>
      <w:r>
        <w:rPr>
          <w:rFonts w:ascii="仿宋_GB2312" w:eastAsia="仿宋_GB2312" w:hint="eastAsia"/>
          <w:sz w:val="32"/>
          <w:szCs w:val="32"/>
        </w:rPr>
        <w:t>65.11%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144</w:t>
      </w:r>
      <w:r>
        <w:rPr>
          <w:rFonts w:ascii="仿宋_GB2312" w:eastAsia="仿宋_GB2312" w:hint="eastAsia"/>
          <w:sz w:val="32"/>
          <w:szCs w:val="32"/>
        </w:rPr>
        <w:t>平方米以上占</w:t>
      </w:r>
      <w:r>
        <w:rPr>
          <w:rFonts w:ascii="仿宋_GB2312" w:eastAsia="仿宋_GB2312" w:hint="eastAsia"/>
          <w:sz w:val="32"/>
          <w:szCs w:val="32"/>
        </w:rPr>
        <w:t>2.61%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5B86A65E" w14:textId="77777777" w:rsidR="003063D1" w:rsidRDefault="006B0837">
      <w:pPr>
        <w:spacing w:line="56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贷款人按购房面积分类对比图</w:t>
      </w:r>
    </w:p>
    <w:p w14:paraId="57A94F5F" w14:textId="77777777" w:rsidR="003063D1" w:rsidRDefault="006B0837">
      <w:pPr>
        <w:ind w:firstLineChars="400" w:firstLine="128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noProof/>
          <w:sz w:val="32"/>
          <w:szCs w:val="32"/>
        </w:rPr>
        <w:drawing>
          <wp:inline distT="0" distB="0" distL="0" distR="0" wp14:anchorId="2FCD8B07" wp14:editId="7B5B6381">
            <wp:extent cx="4201795" cy="2808605"/>
            <wp:effectExtent l="0" t="0" r="8255" b="10795"/>
            <wp:docPr id="12" name="图表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556C695" w14:textId="77777777" w:rsidR="003063D1" w:rsidRDefault="006B0837">
      <w:pPr>
        <w:adjustRightInd w:val="0"/>
        <w:snapToGrid w:val="0"/>
        <w:spacing w:line="58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中、低收入占</w:t>
      </w:r>
      <w:r>
        <w:rPr>
          <w:rFonts w:ascii="仿宋_GB2312" w:eastAsia="仿宋_GB2312" w:hint="eastAsia"/>
          <w:sz w:val="32"/>
          <w:szCs w:val="32"/>
        </w:rPr>
        <w:t>99.66%</w:t>
      </w:r>
      <w:r>
        <w:rPr>
          <w:rFonts w:ascii="仿宋_GB2312" w:eastAsia="仿宋_GB2312" w:hint="eastAsia"/>
          <w:sz w:val="32"/>
          <w:szCs w:val="32"/>
        </w:rPr>
        <w:t>，高收入占</w:t>
      </w:r>
      <w:r>
        <w:rPr>
          <w:rFonts w:ascii="仿宋_GB2312" w:eastAsia="仿宋_GB2312" w:hint="eastAsia"/>
          <w:sz w:val="32"/>
          <w:szCs w:val="32"/>
        </w:rPr>
        <w:t>0.34%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3D0CF827" w14:textId="77777777" w:rsidR="003063D1" w:rsidRDefault="006B0837"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贷款人按家庭月收入分类对比图</w:t>
      </w:r>
    </w:p>
    <w:p w14:paraId="3598C896" w14:textId="77777777" w:rsidR="003063D1" w:rsidRDefault="006B0837">
      <w:pPr>
        <w:ind w:firstLineChars="400" w:firstLine="1280"/>
        <w:jc w:val="left"/>
        <w:rPr>
          <w:rFonts w:ascii="仿宋_GB2312" w:eastAsia="仿宋_GB2312" w:hAnsiTheme="minorEastAsia"/>
          <w:sz w:val="32"/>
          <w:szCs w:val="32"/>
        </w:rPr>
      </w:pPr>
      <w:r>
        <w:rPr>
          <w:rFonts w:ascii="仿宋_GB2312" w:eastAsia="仿宋_GB2312" w:hAnsiTheme="minorEastAsia" w:hint="eastAsia"/>
          <w:noProof/>
          <w:sz w:val="32"/>
          <w:szCs w:val="32"/>
        </w:rPr>
        <w:drawing>
          <wp:inline distT="0" distB="0" distL="0" distR="0" wp14:anchorId="7C055581" wp14:editId="73AE29A0">
            <wp:extent cx="3552825" cy="2105025"/>
            <wp:effectExtent l="0" t="0" r="0" b="0"/>
            <wp:docPr id="14" name="图表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4153E2DB" w14:textId="77777777" w:rsidR="003063D1" w:rsidRDefault="006B083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从贷款人购房的面积和收入情况来分析，住房公积金主要满足了中低收入家庭的刚性需求，充分发挥了住房保障作用。</w:t>
      </w:r>
    </w:p>
    <w:p w14:paraId="4A32C685" w14:textId="77777777" w:rsidR="003063D1" w:rsidRDefault="003063D1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18F6C9CA" w14:textId="77777777" w:rsidR="003063D1" w:rsidRDefault="003063D1">
      <w:pPr>
        <w:spacing w:line="560" w:lineRule="exact"/>
        <w:ind w:firstLineChars="200" w:firstLine="640"/>
        <w:jc w:val="right"/>
        <w:rPr>
          <w:rFonts w:ascii="仿宋_GB2312" w:eastAsia="仿宋_GB2312"/>
          <w:sz w:val="32"/>
          <w:szCs w:val="32"/>
        </w:rPr>
      </w:pPr>
    </w:p>
    <w:p w14:paraId="4EA80C52" w14:textId="77777777" w:rsidR="003063D1" w:rsidRDefault="006B0837">
      <w:pPr>
        <w:spacing w:line="560" w:lineRule="exact"/>
        <w:ind w:firstLineChars="200" w:firstLine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</w:t>
      </w:r>
      <w:r>
        <w:rPr>
          <w:rFonts w:ascii="仿宋_GB2312" w:eastAsia="仿宋_GB2312" w:hint="eastAsia"/>
          <w:sz w:val="32"/>
          <w:szCs w:val="32"/>
        </w:rPr>
        <w:t>秦皇岛市住房公积金管理中心</w:t>
      </w:r>
    </w:p>
    <w:p w14:paraId="1FED79A3" w14:textId="77777777" w:rsidR="003063D1" w:rsidRDefault="006B0837">
      <w:pPr>
        <w:spacing w:line="560" w:lineRule="exact"/>
        <w:ind w:right="640"/>
        <w:jc w:val="center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                      </w:t>
      </w:r>
      <w:r>
        <w:rPr>
          <w:rFonts w:ascii="仿宋_GB2312" w:eastAsia="仿宋_GB2312" w:hint="eastAsia"/>
          <w:sz w:val="32"/>
          <w:szCs w:val="32"/>
        </w:rPr>
        <w:t>20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2</w:t>
      </w:r>
      <w:r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3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29</w:t>
      </w:r>
      <w:r>
        <w:rPr>
          <w:rFonts w:ascii="仿宋_GB2312" w:eastAsia="仿宋_GB2312" w:hint="eastAsia"/>
          <w:sz w:val="32"/>
          <w:szCs w:val="32"/>
        </w:rPr>
        <w:t>日</w:t>
      </w:r>
    </w:p>
    <w:sectPr w:rsidR="003063D1">
      <w:pgSz w:w="11906" w:h="16838"/>
      <w:pgMar w:top="2098" w:right="1474" w:bottom="1871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5D51"/>
    <w:rsid w:val="00004CD9"/>
    <w:rsid w:val="00023316"/>
    <w:rsid w:val="00023DD5"/>
    <w:rsid w:val="000564D4"/>
    <w:rsid w:val="0006686F"/>
    <w:rsid w:val="00070518"/>
    <w:rsid w:val="00083CF6"/>
    <w:rsid w:val="000B20AD"/>
    <w:rsid w:val="000C0FBC"/>
    <w:rsid w:val="000E0127"/>
    <w:rsid w:val="000E6D3D"/>
    <w:rsid w:val="000F2486"/>
    <w:rsid w:val="000F5175"/>
    <w:rsid w:val="0011232F"/>
    <w:rsid w:val="001505AC"/>
    <w:rsid w:val="00192A4A"/>
    <w:rsid w:val="001A59BA"/>
    <w:rsid w:val="001B02BA"/>
    <w:rsid w:val="001B181A"/>
    <w:rsid w:val="001B4691"/>
    <w:rsid w:val="001D3881"/>
    <w:rsid w:val="001D73AF"/>
    <w:rsid w:val="001E137F"/>
    <w:rsid w:val="00203720"/>
    <w:rsid w:val="00206A70"/>
    <w:rsid w:val="002219DC"/>
    <w:rsid w:val="00221F69"/>
    <w:rsid w:val="00244BFC"/>
    <w:rsid w:val="00267BED"/>
    <w:rsid w:val="002942B3"/>
    <w:rsid w:val="00296294"/>
    <w:rsid w:val="002967A4"/>
    <w:rsid w:val="002F01FD"/>
    <w:rsid w:val="002F0637"/>
    <w:rsid w:val="00303026"/>
    <w:rsid w:val="00303819"/>
    <w:rsid w:val="003063D1"/>
    <w:rsid w:val="0031626B"/>
    <w:rsid w:val="003164DE"/>
    <w:rsid w:val="00357787"/>
    <w:rsid w:val="00370360"/>
    <w:rsid w:val="00385636"/>
    <w:rsid w:val="003A4F08"/>
    <w:rsid w:val="003E65E5"/>
    <w:rsid w:val="003F5D51"/>
    <w:rsid w:val="00403260"/>
    <w:rsid w:val="004328D5"/>
    <w:rsid w:val="00445FBA"/>
    <w:rsid w:val="004653A9"/>
    <w:rsid w:val="004C21A4"/>
    <w:rsid w:val="004D560D"/>
    <w:rsid w:val="00507F6F"/>
    <w:rsid w:val="00581EB2"/>
    <w:rsid w:val="005A5930"/>
    <w:rsid w:val="005C6097"/>
    <w:rsid w:val="00624B1F"/>
    <w:rsid w:val="00631BD3"/>
    <w:rsid w:val="0064566F"/>
    <w:rsid w:val="00670E6E"/>
    <w:rsid w:val="00675113"/>
    <w:rsid w:val="00685F59"/>
    <w:rsid w:val="00692BB3"/>
    <w:rsid w:val="006967B0"/>
    <w:rsid w:val="006B0837"/>
    <w:rsid w:val="006C18F2"/>
    <w:rsid w:val="006E0E75"/>
    <w:rsid w:val="006F1EE6"/>
    <w:rsid w:val="00703CDD"/>
    <w:rsid w:val="007355E9"/>
    <w:rsid w:val="0075181A"/>
    <w:rsid w:val="007B3EF8"/>
    <w:rsid w:val="00845B51"/>
    <w:rsid w:val="008506CC"/>
    <w:rsid w:val="008573AD"/>
    <w:rsid w:val="008640BA"/>
    <w:rsid w:val="00886418"/>
    <w:rsid w:val="00896955"/>
    <w:rsid w:val="008A345E"/>
    <w:rsid w:val="008B0ADF"/>
    <w:rsid w:val="008B10D2"/>
    <w:rsid w:val="00914B45"/>
    <w:rsid w:val="00920DB6"/>
    <w:rsid w:val="009936FF"/>
    <w:rsid w:val="00994547"/>
    <w:rsid w:val="009A35B1"/>
    <w:rsid w:val="009B013F"/>
    <w:rsid w:val="009B023C"/>
    <w:rsid w:val="009B148B"/>
    <w:rsid w:val="009B2F2F"/>
    <w:rsid w:val="009D3827"/>
    <w:rsid w:val="00A0430F"/>
    <w:rsid w:val="00A21F1A"/>
    <w:rsid w:val="00A31C8A"/>
    <w:rsid w:val="00A47F0E"/>
    <w:rsid w:val="00A601BC"/>
    <w:rsid w:val="00AF6E0B"/>
    <w:rsid w:val="00B038FD"/>
    <w:rsid w:val="00B04F31"/>
    <w:rsid w:val="00BC4845"/>
    <w:rsid w:val="00BD5414"/>
    <w:rsid w:val="00C02FDA"/>
    <w:rsid w:val="00C23773"/>
    <w:rsid w:val="00C77B52"/>
    <w:rsid w:val="00C8119B"/>
    <w:rsid w:val="00C9426A"/>
    <w:rsid w:val="00CA276E"/>
    <w:rsid w:val="00CC701B"/>
    <w:rsid w:val="00CF2175"/>
    <w:rsid w:val="00CF7758"/>
    <w:rsid w:val="00D11E43"/>
    <w:rsid w:val="00D24FFA"/>
    <w:rsid w:val="00D677B8"/>
    <w:rsid w:val="00D67890"/>
    <w:rsid w:val="00D74E80"/>
    <w:rsid w:val="00D85577"/>
    <w:rsid w:val="00E00B16"/>
    <w:rsid w:val="00E24FE4"/>
    <w:rsid w:val="00E91317"/>
    <w:rsid w:val="00E97731"/>
    <w:rsid w:val="00EB7931"/>
    <w:rsid w:val="00EC15EE"/>
    <w:rsid w:val="00EC1EC8"/>
    <w:rsid w:val="00ED4A16"/>
    <w:rsid w:val="00F03BAD"/>
    <w:rsid w:val="00F37F05"/>
    <w:rsid w:val="00F4525A"/>
    <w:rsid w:val="1BE913B7"/>
    <w:rsid w:val="41A12198"/>
    <w:rsid w:val="69B0389F"/>
    <w:rsid w:val="790171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F473D36"/>
  <w15:docId w15:val="{BC09FBA1-0467-486D-98A1-4B540A2B2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character" w:customStyle="1" w:styleId="1">
    <w:name w:val="明显参考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13" Type="http://schemas.openxmlformats.org/officeDocument/2006/relationships/chart" Target="charts/chart9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chart" Target="charts/chart8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11" Type="http://schemas.openxmlformats.org/officeDocument/2006/relationships/chart" Target="charts/chart7.xml"/><Relationship Id="rId5" Type="http://schemas.openxmlformats.org/officeDocument/2006/relationships/chart" Target="charts/chart1.xml"/><Relationship Id="rId15" Type="http://schemas.openxmlformats.org/officeDocument/2006/relationships/chart" Target="charts/chart1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Relationship Id="rId14" Type="http://schemas.openxmlformats.org/officeDocument/2006/relationships/chart" Target="charts/chart10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5076919903676101"/>
          <c:y val="0.12865741019013799"/>
          <c:w val="0.39276394969292899"/>
          <c:h val="0.76304141371641598"/>
        </c:manualLayout>
      </c:layout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列1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B479-4A80-B15D-596A527EBB62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B479-4A80-B15D-596A527EBB62}"/>
              </c:ext>
            </c:extLst>
          </c:dPt>
          <c:dPt>
            <c:idx val="2"/>
            <c:bubble3D val="0"/>
            <c:spPr>
              <a:pattFill prst="ltUpDiag">
                <a:fgClr>
                  <a:schemeClr val="accent3"/>
                </a:fgClr>
                <a:bgClr>
                  <a:schemeClr val="accent3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3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5-B479-4A80-B15D-596A527EBB62}"/>
              </c:ext>
            </c:extLst>
          </c:dPt>
          <c:dPt>
            <c:idx val="3"/>
            <c:bubble3D val="0"/>
            <c:spPr>
              <a:pattFill prst="ltUpDiag">
                <a:fgClr>
                  <a:schemeClr val="accent4"/>
                </a:fgClr>
                <a:bgClr>
                  <a:schemeClr val="accent4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4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7-B479-4A80-B15D-596A527EBB62}"/>
              </c:ext>
            </c:extLst>
          </c:dPt>
          <c:dPt>
            <c:idx val="4"/>
            <c:bubble3D val="0"/>
            <c:spPr>
              <a:pattFill prst="ltUpDiag">
                <a:fgClr>
                  <a:schemeClr val="accent5"/>
                </a:fgClr>
                <a:bgClr>
                  <a:schemeClr val="accent5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5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9-B479-4A80-B15D-596A527EBB62}"/>
              </c:ext>
            </c:extLst>
          </c:dPt>
          <c:dPt>
            <c:idx val="5"/>
            <c:bubble3D val="0"/>
            <c:spPr>
              <a:pattFill prst="ltUpDiag">
                <a:fgClr>
                  <a:schemeClr val="accent6"/>
                </a:fgClr>
                <a:bgClr>
                  <a:schemeClr val="accent6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6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B-B479-4A80-B15D-596A527EBB62}"/>
              </c:ext>
            </c:extLst>
          </c:dPt>
          <c:dPt>
            <c:idx val="6"/>
            <c:bubble3D val="0"/>
            <c:spPr>
              <a:pattFill prst="ltUpDiag">
                <a:fgClr>
                  <a:schemeClr val="accent1">
                    <a:lumMod val="60000"/>
                  </a:schemeClr>
                </a:fgClr>
                <a:bgClr>
                  <a:schemeClr val="accent1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D-B479-4A80-B15D-596A527EBB62}"/>
              </c:ext>
            </c:extLst>
          </c:dPt>
          <c:dPt>
            <c:idx val="7"/>
            <c:bubble3D val="0"/>
            <c:spPr>
              <a:pattFill prst="ltUpDiag">
                <a:fgClr>
                  <a:schemeClr val="accent2">
                    <a:lumMod val="60000"/>
                  </a:schemeClr>
                </a:fgClr>
                <a:bgClr>
                  <a:schemeClr val="accent2">
                    <a:lumMod val="60000"/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>
                    <a:lumMod val="60000"/>
                  </a:schemeClr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F-B479-4A80-B15D-596A527EBB62}"/>
              </c:ext>
            </c:extLst>
          </c:dPt>
          <c:dLbls>
            <c:dLbl>
              <c:idx val="0"/>
              <c:layout>
                <c:manualLayout>
                  <c:x val="0.11210494931425199"/>
                  <c:y val="0.41269841269841301"/>
                </c:manualLayout>
              </c:layout>
              <c:tx>
                <c:rich>
                  <a:bodyPr/>
                  <a:lstStyle/>
                  <a:p>
                    <a:fld id="{C6BE4407-EAFA-4EE9-BE47-30B67DD529BB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B479-4A80-B15D-596A527EBB62}"/>
                </c:ext>
              </c:extLst>
            </c:dLbl>
            <c:dLbl>
              <c:idx val="1"/>
              <c:layout>
                <c:manualLayout>
                  <c:x val="1.9081693500298199E-2"/>
                  <c:y val="0.158730158730159"/>
                </c:manualLayout>
              </c:layout>
              <c:tx>
                <c:rich>
                  <a:bodyPr/>
                  <a:lstStyle/>
                  <a:p>
                    <a:fld id="{70B77E57-71B2-4692-AB9D-29DEE6FDC48B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B479-4A80-B15D-596A527EBB62}"/>
                </c:ext>
              </c:extLst>
            </c:dLbl>
            <c:dLbl>
              <c:idx val="2"/>
              <c:layout>
                <c:manualLayout>
                  <c:x val="-0.11449016100178901"/>
                  <c:y val="0.19501133786848099"/>
                </c:manualLayout>
              </c:layout>
              <c:tx>
                <c:rich>
                  <a:bodyPr/>
                  <a:lstStyle/>
                  <a:p>
                    <a:fld id="{A0D02DE1-09BC-4A6B-B781-893B2BF1776F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B479-4A80-B15D-596A527EBB62}"/>
                </c:ext>
              </c:extLst>
            </c:dLbl>
            <c:dLbl>
              <c:idx val="3"/>
              <c:layout>
                <c:manualLayout>
                  <c:x val="-0.217054263565892"/>
                  <c:y val="1.3605442176870699E-2"/>
                </c:manualLayout>
              </c:layout>
              <c:tx>
                <c:rich>
                  <a:bodyPr/>
                  <a:lstStyle/>
                  <a:p>
                    <a:fld id="{8612D51E-C180-48C5-AA0C-2079F5D933D5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B479-4A80-B15D-596A527EBB62}"/>
                </c:ext>
              </c:extLst>
            </c:dLbl>
            <c:dLbl>
              <c:idx val="4"/>
              <c:layout>
                <c:manualLayout>
                  <c:x val="-0.26237328562910001"/>
                  <c:y val="2.7210884353741499E-2"/>
                </c:manualLayout>
              </c:layout>
              <c:tx>
                <c:rich>
                  <a:bodyPr/>
                  <a:lstStyle/>
                  <a:p>
                    <a:fld id="{A99FCF5E-D030-4223-B441-E778E1FBB131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B479-4A80-B15D-596A527EBB62}"/>
                </c:ext>
              </c:extLst>
            </c:dLbl>
            <c:dLbl>
              <c:idx val="5"/>
              <c:layout>
                <c:manualLayout>
                  <c:x val="-0.20035778175313099"/>
                  <c:y val="-0.11337868480725601"/>
                </c:manualLayout>
              </c:layout>
              <c:tx>
                <c:rich>
                  <a:bodyPr/>
                  <a:lstStyle/>
                  <a:p>
                    <a:fld id="{5E1B08BD-E221-40BA-9E01-D7191560B14C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B-B479-4A80-B15D-596A527EBB62}"/>
                </c:ext>
              </c:extLst>
            </c:dLbl>
            <c:dLbl>
              <c:idx val="6"/>
              <c:layout>
                <c:manualLayout>
                  <c:x val="0.138342277877162"/>
                  <c:y val="-0.14512471655328801"/>
                </c:manualLayout>
              </c:layout>
              <c:tx>
                <c:rich>
                  <a:bodyPr/>
                  <a:lstStyle/>
                  <a:p>
                    <a:fld id="{3D5CE740-11B9-48D0-8C0E-BB1C8C369009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D-B479-4A80-B15D-596A527EBB62}"/>
                </c:ext>
              </c:extLst>
            </c:dLbl>
            <c:dLbl>
              <c:idx val="7"/>
              <c:layout>
                <c:manualLayout>
                  <c:x val="0.27668455575432299"/>
                  <c:y val="-3.17460317460318E-2"/>
                </c:manualLayout>
              </c:layout>
              <c:tx>
                <c:rich>
                  <a:bodyPr/>
                  <a:lstStyle/>
                  <a:p>
                    <a:fld id="{EA72C3CF-0F69-4C5F-9AA2-327E4C8B7E81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F-B479-4A80-B15D-596A527EBB6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0">
                <a:spAutoFit/>
              </a:bodyPr>
              <a:lstStyle/>
              <a:p>
                <a:pPr algn="ctr"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Sheet1!$A$2:$A$9</c:f>
              <c:strCache>
                <c:ptCount val="8"/>
                <c:pt idx="0">
                  <c:v>国家机关和事业单位</c:v>
                </c:pt>
                <c:pt idx="1">
                  <c:v>国有企业</c:v>
                </c:pt>
                <c:pt idx="2">
                  <c:v>城镇集体企业</c:v>
                </c:pt>
                <c:pt idx="3">
                  <c:v>外商投资企业</c:v>
                </c:pt>
                <c:pt idx="4">
                  <c:v>城镇私营企业及其他城镇企业</c:v>
                </c:pt>
                <c:pt idx="5">
                  <c:v>民办非企业单位和社会团体</c:v>
                </c:pt>
                <c:pt idx="6">
                  <c:v>灵活就业人员</c:v>
                </c:pt>
                <c:pt idx="7">
                  <c:v>其他</c:v>
                </c:pt>
              </c:strCache>
            </c:strRef>
          </c:cat>
          <c:val>
            <c:numRef>
              <c:f>Sheet1!$B$2:$B$9</c:f>
              <c:numCache>
                <c:formatCode>0.00%</c:formatCode>
                <c:ptCount val="8"/>
                <c:pt idx="0">
                  <c:v>0.43909999999999999</c:v>
                </c:pt>
                <c:pt idx="1">
                  <c:v>0.23430000000000001</c:v>
                </c:pt>
                <c:pt idx="2">
                  <c:v>2.0999999999999999E-3</c:v>
                </c:pt>
                <c:pt idx="3">
                  <c:v>5.0599999999999999E-2</c:v>
                </c:pt>
                <c:pt idx="4">
                  <c:v>0.2576</c:v>
                </c:pt>
                <c:pt idx="5">
                  <c:v>5.7999999999999996E-3</c:v>
                </c:pt>
                <c:pt idx="6">
                  <c:v>0</c:v>
                </c:pt>
                <c:pt idx="7">
                  <c:v>1.0500000000000001E-2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0-B479-4A80-B15D-596A527EBB62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8349206349206302E-2"/>
          <c:y val="0.10195442800094"/>
          <c:w val="0.81853968253968301"/>
          <c:h val="0.78904392764857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B359-44AD-9ED1-CA63DB7C7805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B359-44AD-9ED1-CA63DB7C7805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B359-44AD-9ED1-CA63DB7C7805}"/>
              </c:ext>
            </c:extLst>
          </c:dPt>
          <c:dLbls>
            <c:dLbl>
              <c:idx val="0"/>
              <c:layout>
                <c:manualLayout>
                  <c:x val="6.4766008022582103E-2"/>
                  <c:y val="-8.7827390156291103E-3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90</a:t>
                    </a:r>
                    <a:r>
                      <a:rPr lang="zh-CN" altLang="en-US"/>
                      <a:t>（含）平方米以下
</a:t>
                    </a:r>
                    <a:r>
                      <a:rPr lang="en-US" altLang="zh-CN"/>
                      <a:t>33.98%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B359-44AD-9ED1-CA63DB7C7805}"/>
                </c:ext>
              </c:extLst>
            </c:dLbl>
            <c:dLbl>
              <c:idx val="1"/>
              <c:layout>
                <c:manualLayout>
                  <c:x val="-5.3316165667970802E-2"/>
                  <c:y val="1.06966085432674E-2"/>
                </c:manualLayout>
              </c:layout>
              <c:tx>
                <c:rich>
                  <a:bodyPr/>
                  <a:lstStyle/>
                  <a:p>
                    <a:r>
                      <a:rPr lang="en-US" altLang="zh-CN"/>
                      <a:t>90-144</a:t>
                    </a:r>
                    <a:r>
                      <a:rPr lang="zh-CN" altLang="en-US"/>
                      <a:t>（含）平方米
</a:t>
                    </a:r>
                    <a:r>
                      <a:rPr lang="en-US" altLang="zh-CN"/>
                      <a:t>62.33%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B359-44AD-9ED1-CA63DB7C7805}"/>
                </c:ext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altLang="zh-CN"/>
                      <a:t>144</a:t>
                    </a:r>
                    <a:r>
                      <a:rPr lang="zh-CN" altLang="en-US"/>
                      <a:t>平方米以上
</a:t>
                    </a:r>
                    <a:r>
                      <a:rPr lang="en-US" altLang="zh-CN"/>
                      <a:t>3.69%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B359-44AD-9ED1-CA63DB7C7805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90（含）平方米以下</c:v>
                </c:pt>
                <c:pt idx="1">
                  <c:v>90-144（含）平方米</c:v>
                </c:pt>
                <c:pt idx="2">
                  <c:v>144平方米以上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0.32279999999999998</c:v>
                </c:pt>
                <c:pt idx="1">
                  <c:v>0.65110000000000001</c:v>
                </c:pt>
                <c:pt idx="2">
                  <c:v>2.6100000000000002E-2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359-44AD-9ED1-CA63DB7C7805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9907-4700-A0F2-0E54C0281DCD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9907-4700-A0F2-0E54C0281DCD}"/>
              </c:ext>
            </c:extLst>
          </c:dPt>
          <c:dLbls>
            <c:dLbl>
              <c:idx val="0"/>
              <c:layout>
                <c:manualLayout>
                  <c:x val="0.33482622983119098"/>
                  <c:y val="-1.10607068160174E-16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中低收入群体
</a:t>
                    </a:r>
                    <a:r>
                      <a:rPr lang="en-US" altLang="zh-CN"/>
                      <a:t>98.82%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9907-4700-A0F2-0E54C0281DCD}"/>
                </c:ext>
              </c:extLst>
            </c:dLbl>
            <c:dLbl>
              <c:idx val="1"/>
              <c:layout>
                <c:manualLayout>
                  <c:x val="0.12539627063588299"/>
                  <c:y val="1.64416271070809E-3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中等收入群体
</a:t>
                    </a:r>
                    <a:r>
                      <a:rPr lang="en-US" altLang="zh-CN"/>
                      <a:t>1.18%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9907-4700-A0F2-0E54C0281DC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中低收入群体</c:v>
                </c:pt>
                <c:pt idx="1">
                  <c:v>高收入群体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0.99660000000000004</c:v>
                </c:pt>
                <c:pt idx="1">
                  <c:v>3.3999999999999998E-3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9907-4700-A0F2-0E54C0281DCD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dPt>
            <c:idx val="0"/>
            <c:bubble3D val="0"/>
            <c:spPr>
              <a:pattFill prst="ltUpDiag">
                <a:fgClr>
                  <a:schemeClr val="accent1"/>
                </a:fgClr>
                <a:bgClr>
                  <a:schemeClr val="accent1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1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1-C585-41BB-B599-B78AE6C51046}"/>
              </c:ext>
            </c:extLst>
          </c:dPt>
          <c:dPt>
            <c:idx val="1"/>
            <c:bubble3D val="0"/>
            <c:spPr>
              <a:pattFill prst="ltUpDiag">
                <a:fgClr>
                  <a:schemeClr val="accent2"/>
                </a:fgClr>
                <a:bgClr>
                  <a:schemeClr val="accent2">
                    <a:lumMod val="20000"/>
                    <a:lumOff val="80000"/>
                  </a:schemeClr>
                </a:bgClr>
              </a:pattFill>
              <a:ln w="19050">
                <a:solidFill>
                  <a:schemeClr val="lt1"/>
                </a:solidFill>
              </a:ln>
              <a:effectLst>
                <a:innerShdw blurRad="114300">
                  <a:schemeClr val="accent2"/>
                </a:innerShdw>
              </a:effectLst>
            </c:spPr>
            <c:extLst>
              <c:ext xmlns:c16="http://schemas.microsoft.com/office/drawing/2014/chart" uri="{C3380CC4-5D6E-409C-BE32-E72D297353CC}">
                <c16:uniqueId val="{00000003-C585-41BB-B599-B78AE6C51046}"/>
              </c:ext>
            </c:extLst>
          </c:dPt>
          <c:dLbls>
            <c:dLbl>
              <c:idx val="0"/>
              <c:layout>
                <c:manualLayout>
                  <c:x val="0.26231349736253801"/>
                  <c:y val="5.522183221073270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fld id="{840869D2-1B74-4CCB-81BD-BC3DB44F891A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507523547860601"/>
                      <c:h val="0.20354594229938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585-41BB-B599-B78AE6C51046}"/>
                </c:ext>
              </c:extLst>
            </c:dLbl>
            <c:dLbl>
              <c:idx val="1"/>
              <c:layout>
                <c:manualLayout>
                  <c:x val="-0.228061950469235"/>
                  <c:y val="-8.438116100766700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fld id="{7075B3AC-C092-4869-9087-56D49ABA8153}" type="CATEGORYNAME">
                      <a:rPr lang="zh-CN" altLang="en-US"/>
                      <a:pPr/>
                      <a:t>[类别名称]</a:t>
                    </a:fld>
                    <a:endParaRPr lang="zh-CN" altLang="en-US"/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7751786874594"/>
                      <c:h val="0.24998682393616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585-41BB-B599-B78AE6C5104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prstDash val="solid"/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中、低收入人群</c:v>
                </c:pt>
                <c:pt idx="1">
                  <c:v>高收入人群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0.98740000000000006</c:v>
                </c:pt>
                <c:pt idx="1">
                  <c:v>1.26E-2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C585-41BB-B599-B78AE6C51046}"/>
            </c:ext>
          </c:extLst>
        </c:ser>
        <c:dLbls>
          <c:showLegendKey val="0"/>
          <c:showVal val="0"/>
          <c:showCatName val="1"/>
          <c:showSerName val="0"/>
          <c:showPercent val="0"/>
          <c:showBubbleSize val="0"/>
          <c:showLeaderLines val="1"/>
        </c:dLbls>
        <c:firstSliceAng val="0"/>
        <c:holeSize val="70"/>
      </c:doughnutChart>
      <c:spPr>
        <a:noFill/>
        <a:ln>
          <a:noFill/>
        </a:ln>
        <a:effectLst/>
      </c:spPr>
    </c:plotArea>
    <c:plotVisOnly val="1"/>
    <c:dispBlanksAs val="zero"/>
    <c:showDLblsOverMax val="0"/>
  </c:chart>
  <c:spPr>
    <a:solidFill>
      <a:schemeClr val="bg1"/>
    </a:solidFill>
    <a:ln w="9525" cap="flat" cmpd="sng" algn="ctr">
      <a:noFill/>
      <a:prstDash val="solid"/>
      <a:round/>
    </a:ln>
    <a:effectLst/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缴存额（亿元）</c:v>
                </c:pt>
                <c:pt idx="1">
                  <c:v>缴存余额（亿元）</c:v>
                </c:pt>
                <c:pt idx="2">
                  <c:v>缴存总额（亿元）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38.33</c:v>
                </c:pt>
                <c:pt idx="1">
                  <c:v>130.19999999999999</c:v>
                </c:pt>
                <c:pt idx="2">
                  <c:v>377.36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EE5-43CF-A03E-953FACD46B0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</c:v>
                </c:pt>
              </c:strCache>
            </c:strRef>
          </c:tx>
          <c:invertIfNegative val="0"/>
          <c:cat>
            <c:strRef>
              <c:f>Sheet1!$A$2:$A$4</c:f>
              <c:strCache>
                <c:ptCount val="3"/>
                <c:pt idx="0">
                  <c:v>缴存额（亿元）</c:v>
                </c:pt>
                <c:pt idx="1">
                  <c:v>缴存余额（亿元）</c:v>
                </c:pt>
                <c:pt idx="2">
                  <c:v>缴存总额（亿元）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39.35</c:v>
                </c:pt>
                <c:pt idx="1">
                  <c:v>142.56</c:v>
                </c:pt>
                <c:pt idx="2">
                  <c:v>416.71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EE5-43CF-A03E-953FACD46B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7210368"/>
        <c:axId val="167580416"/>
      </c:barChart>
      <c:catAx>
        <c:axId val="16721036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7580416"/>
        <c:crosses val="autoZero"/>
        <c:auto val="1"/>
        <c:lblAlgn val="ctr"/>
        <c:lblOffset val="100"/>
        <c:noMultiLvlLbl val="0"/>
      </c:catAx>
      <c:valAx>
        <c:axId val="16758041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7210368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提取额</c:v>
                </c:pt>
                <c:pt idx="1">
                  <c:v>提取总额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29.01</c:v>
                </c:pt>
                <c:pt idx="1">
                  <c:v>247.16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55E-4AD2-8D0D-7A406E76CDE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提取额</c:v>
                </c:pt>
                <c:pt idx="1">
                  <c:v>提取总额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26.99</c:v>
                </c:pt>
                <c:pt idx="1">
                  <c:v>274.16000000000003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D55E-4AD2-8D0D-7A406E76CDE7}"/>
            </c:ext>
          </c:extLst>
        </c:ser>
        <c:ser>
          <c:idx val="2"/>
          <c:order val="2"/>
          <c:tx>
            <c:strRef>
              <c:f>Sheet1!#REF!</c:f>
              <c:strCache>
                <c:ptCount val="1"/>
                <c:pt idx="0">
                  <c:v>#REF!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提取额</c:v>
                </c:pt>
                <c:pt idx="1">
                  <c:v>提取总额</c:v>
                </c:pt>
              </c:strCache>
            </c:strRef>
          </c:cat>
          <c:val>
            <c:numRef>
              <c:f>Sheet1!#REF!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D55E-4AD2-8D0D-7A406E76CDE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415360"/>
        <c:axId val="162416896"/>
      </c:barChart>
      <c:catAx>
        <c:axId val="16241536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2416896"/>
        <c:crosses val="autoZero"/>
        <c:auto val="1"/>
        <c:lblAlgn val="ctr"/>
        <c:lblOffset val="100"/>
        <c:noMultiLvlLbl val="0"/>
      </c:catAx>
      <c:valAx>
        <c:axId val="162416896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2415360"/>
        <c:crosses val="autoZero"/>
        <c:crossBetween val="between"/>
      </c:valAx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83785543930296402"/>
          <c:y val="0.37220555911076503"/>
          <c:w val="0.15910042066659499"/>
          <c:h val="0.24616603136622101"/>
        </c:manualLayout>
      </c:layout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2020年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贷款人数（万笔）</c:v>
                </c:pt>
                <c:pt idx="1">
                  <c:v>贷款金额（亿元）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0.48</c:v>
                </c:pt>
                <c:pt idx="1">
                  <c:v>18.489999999999998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AAB-453E-9B2E-B17F8ED65507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2021年</c:v>
                </c:pt>
              </c:strCache>
            </c:strRef>
          </c:tx>
          <c:invertIfNegative val="0"/>
          <c:cat>
            <c:strRef>
              <c:f>Sheet1!$A$2:$A$3</c:f>
              <c:strCache>
                <c:ptCount val="2"/>
                <c:pt idx="0">
                  <c:v>贷款人数（万笔）</c:v>
                </c:pt>
                <c:pt idx="1">
                  <c:v>贷款金额（亿元）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0.41</c:v>
                </c:pt>
                <c:pt idx="1">
                  <c:v>15.81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AAB-453E-9B2E-B17F8ED6550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62441856"/>
        <c:axId val="142287232"/>
      </c:barChart>
      <c:catAx>
        <c:axId val="16244185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42287232"/>
        <c:crosses val="autoZero"/>
        <c:auto val="1"/>
        <c:lblAlgn val="ctr"/>
        <c:lblOffset val="100"/>
        <c:noMultiLvlLbl val="0"/>
      </c:catAx>
      <c:valAx>
        <c:axId val="1422872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2441856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C317-4441-8679-78FAFF4FA4D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C317-4441-8679-78FAFF4FA4D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C317-4441-8679-78FAFF4FA4D2}"/>
              </c:ext>
            </c:extLst>
          </c:dPt>
          <c:dLbls>
            <c:dLbl>
              <c:idx val="0"/>
              <c:layout>
                <c:manualLayout>
                  <c:x val="-0.32432432432432501"/>
                  <c:y val="1.08843537414966E-2"/>
                </c:manualLayout>
              </c:layout>
              <c:tx>
                <c:rich>
                  <a:bodyPr/>
                  <a:lstStyle/>
                  <a:p>
                    <a:fld id="{C44A0200-8416-4963-BFAB-83BBC0C62894}" type="CATEGORYNAME">
                      <a:rPr lang="zh-CN" altLang="en-US"/>
                      <a:pPr/>
                      <a:t>[类别名称]</a:t>
                    </a:fld>
                    <a:r>
                      <a:rPr lang="en-US" altLang="zh-CN"/>
                      <a:t>,</a:t>
                    </a:r>
                    <a:fld id="{2AA89759-A107-4681-8733-33276586CA70}" type="VALUE">
                      <a:rPr lang="en-US" altLang="zh-CN"/>
                      <a:pPr/>
                      <a:t>[值]</a:t>
                    </a:fld>
                    <a:endParaRPr lang="en-US" altLang="zh-CN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15315315315315"/>
                      <c:h val="0.24669603524229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C317-4441-8679-78FAFF4FA4D2}"/>
                </c:ext>
              </c:extLst>
            </c:dLbl>
            <c:dLbl>
              <c:idx val="1"/>
              <c:layout>
                <c:manualLayout>
                  <c:x val="1.6029784398790301E-2"/>
                  <c:y val="-0.11714914583045501"/>
                </c:manualLayout>
              </c:layout>
              <c:tx>
                <c:rich>
                  <a:bodyPr/>
                  <a:lstStyle/>
                  <a:p>
                    <a:fld id="{643A0B89-C1FE-43CC-AC36-BC59E60DBEF8}" type="CATEGORYNAME">
                      <a:rPr lang="zh-CN" altLang="en-US"/>
                      <a:pPr/>
                      <a:t>[类别名称]</a:t>
                    </a:fld>
                    <a:r>
                      <a:rPr lang="en-US" altLang="zh-CN"/>
                      <a:t>,</a:t>
                    </a:r>
                    <a:fld id="{5C763E12-0D35-4F28-96DA-3EEE14446984}" type="VALUE">
                      <a:rPr lang="en-US" altLang="zh-CN"/>
                      <a:pPr/>
                      <a:t>[值]</a:t>
                    </a:fld>
                    <a:endParaRPr lang="en-US" altLang="zh-CN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61045045045045"/>
                      <c:h val="0.24669603524229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317-4441-8679-78FAFF4FA4D2}"/>
                </c:ext>
              </c:extLst>
            </c:dLbl>
            <c:dLbl>
              <c:idx val="2"/>
              <c:layout>
                <c:manualLayout>
                  <c:x val="-5.3940554727956896E-4"/>
                  <c:y val="0"/>
                </c:manualLayout>
              </c:layout>
              <c:tx>
                <c:rich>
                  <a:bodyPr/>
                  <a:lstStyle/>
                  <a:p>
                    <a:fld id="{BC54487D-ADD3-4180-A78B-4081840AAFC8}" type="CATEGORYNAME">
                      <a:rPr lang="zh-CN" altLang="en-US"/>
                      <a:pPr/>
                      <a:t>[类别名称]</a:t>
                    </a:fld>
                    <a:r>
                      <a:rPr lang="en-US" altLang="zh-CN"/>
                      <a:t>,</a:t>
                    </a:r>
                    <a:fld id="{51C4A374-94CA-4DF1-A94E-E5FC5D14A8D4}" type="VALUE">
                      <a:rPr lang="en-US" altLang="zh-CN"/>
                      <a:pPr/>
                      <a:t>[值]</a:t>
                    </a:fld>
                    <a:endParaRPr lang="en-US" altLang="zh-CN"/>
                  </a:p>
                </c:rich>
              </c:tx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9983769596367998"/>
                      <c:h val="0.3230543318649050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C317-4441-8679-78FAFF4FA4D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提取贷款风险准备金</c:v>
                </c:pt>
                <c:pt idx="1">
                  <c:v>提取管理费用</c:v>
                </c:pt>
                <c:pt idx="2">
                  <c:v>提取城市廉租房建设补充资金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467.87</c:v>
                </c:pt>
                <c:pt idx="1">
                  <c:v>1962.89</c:v>
                </c:pt>
                <c:pt idx="2">
                  <c:v>17203.509999999998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C317-4441-8679-78FAFF4FA4D2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9.5841924398625405E-2"/>
          <c:y val="0.10780246913580201"/>
          <c:w val="0.81347079037800696"/>
          <c:h val="0.7843950617283950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列2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624-4645-84E4-594B52F2C01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7624-4645-84E4-594B52F2C01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2-7624-4645-84E4-594B52F2C01F}"/>
              </c:ext>
            </c:extLst>
          </c:dPt>
          <c:dLbls>
            <c:dLbl>
              <c:idx val="0"/>
              <c:layout>
                <c:manualLayout>
                  <c:x val="-1.47492625368732E-3"/>
                  <c:y val="0.495851496823767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购买、建造、翻建、大修自住住房
</a:t>
                    </a:r>
                    <a:r>
                      <a:rPr lang="en-US" altLang="zh-CN"/>
                      <a:t>32.43%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0-7624-4645-84E4-594B52F2C01F}"/>
                </c:ext>
              </c:extLst>
            </c:dLbl>
            <c:dLbl>
              <c:idx val="1"/>
              <c:layout>
                <c:manualLayout>
                  <c:x val="2.7858638882260998E-3"/>
                  <c:y val="0.28688299043264798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偿还购房贷款本息
</a:t>
                    </a:r>
                    <a:r>
                      <a:rPr lang="en-US" altLang="zh-CN"/>
                      <a:t>39.93%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1-7624-4645-84E4-594B52F2C01F}"/>
                </c:ext>
              </c:extLst>
            </c:dLbl>
            <c:dLbl>
              <c:idx val="2"/>
              <c:layout>
                <c:manualLayout>
                  <c:x val="-4.4301678199315998E-2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zh-CN" altLang="en-US"/>
                      <a:t>租赁住房
</a:t>
                    </a:r>
                    <a:r>
                      <a:rPr lang="en-US" altLang="zh-CN"/>
                      <a:t>1.39 %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separator>
</c:separator>
              <c:extLst>
                <c:ext xmlns:c15="http://schemas.microsoft.com/office/drawing/2012/chart" uri="{CE6537A1-D6FC-4f65-9D91-7224C49458BB}">
                  <c15:showDataLabelsRange val="0"/>
                </c:ext>
                <c:ext xmlns:c16="http://schemas.microsoft.com/office/drawing/2014/chart" uri="{C3380CC4-5D6E-409C-BE32-E72D297353CC}">
                  <c16:uniqueId val="{00000002-7624-4645-84E4-594B52F2C01F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Sheet1!$A$2:$A$4</c:f>
              <c:strCache>
                <c:ptCount val="3"/>
                <c:pt idx="0">
                  <c:v>购买、建造、翻建、大修自住住房</c:v>
                </c:pt>
                <c:pt idx="1">
                  <c:v>偿还购房贷款本息</c:v>
                </c:pt>
                <c:pt idx="2">
                  <c:v>租赁住房</c:v>
                </c:pt>
              </c:strCache>
            </c:strRef>
          </c:cat>
          <c:val>
            <c:numRef>
              <c:f>Sheet1!$B$2:$B$4</c:f>
              <c:numCache>
                <c:formatCode>0.00%</c:formatCode>
                <c:ptCount val="3"/>
                <c:pt idx="0">
                  <c:v>0.25669999999999998</c:v>
                </c:pt>
                <c:pt idx="1">
                  <c:v>0.4617</c:v>
                </c:pt>
                <c:pt idx="2">
                  <c:v>1.5299999999999999E-2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624-4645-84E4-594B52F2C01F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depthPercent val="100"/>
      <c:rAngAx val="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销售额</c:v>
                </c:pt>
              </c:strCache>
            </c:strRef>
          </c:tx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BC0-4B9A-80EB-BCFDC6AD165A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1-5BC0-4B9A-80EB-BCFDC6AD165A}"/>
              </c:ext>
            </c:extLst>
          </c:dPt>
          <c:dLbls>
            <c:dLbl>
              <c:idx val="0"/>
              <c:layout>
                <c:manualLayout>
                  <c:x val="-1.20637739431507E-2"/>
                  <c:y val="0.2058886389201350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BC0-4B9A-80EB-BCFDC6AD165A}"/>
                </c:ext>
              </c:extLst>
            </c:dLbl>
            <c:dLbl>
              <c:idx val="1"/>
              <c:layout>
                <c:manualLayout>
                  <c:x val="0.156915121382185"/>
                  <c:y val="-0.12075629435209501"/>
                </c:manualLayout>
              </c:layout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BC0-4B9A-80EB-BCFDC6AD165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zh-CN"/>
              </a:p>
            </c:txPr>
            <c:dLblPos val="bestFit"/>
            <c:showLegendKey val="0"/>
            <c:showVal val="1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Sheet1!$A$2:$A$3</c:f>
              <c:strCache>
                <c:ptCount val="2"/>
                <c:pt idx="0">
                  <c:v>离休和退休</c:v>
                </c:pt>
                <c:pt idx="1">
                  <c:v>其他</c:v>
                </c:pt>
              </c:strCache>
            </c:strRef>
          </c:cat>
          <c:val>
            <c:numRef>
              <c:f>Sheet1!$B$2:$B$3</c:f>
              <c:numCache>
                <c:formatCode>0.00%</c:formatCode>
                <c:ptCount val="2"/>
                <c:pt idx="0">
                  <c:v>0.1668</c:v>
                </c:pt>
                <c:pt idx="1">
                  <c:v>9.9500000000000005E-2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C0-4B9A-80EB-BCFDC6AD165A}"/>
            </c:ext>
          </c:extLst>
        </c:ser>
        <c:dLbls>
          <c:showLegendKey val="0"/>
          <c:showVal val="1"/>
          <c:showCatName val="1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ln w="317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支持职工构建房（单位：万平方米）</c:v>
                </c:pt>
              </c:strCache>
            </c:strRef>
          </c:tx>
          <c:marker>
            <c:symbol val="none"/>
          </c:marker>
          <c:cat>
            <c:strRef>
              <c:f>Sheet1!$A$2:$A$3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50.23</c:v>
                </c:pt>
                <c:pt idx="1">
                  <c:v>42.16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DFF2-441B-AA14-ADE766E9AE0C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节约职工购房利息支出（单位：亿元）</c:v>
                </c:pt>
              </c:strCache>
            </c:strRef>
          </c:tx>
          <c:marker>
            <c:symbol val="none"/>
          </c:marker>
          <c:cat>
            <c:strRef>
              <c:f>Sheet1!$A$2:$A$3</c:f>
              <c:strCache>
                <c:ptCount val="2"/>
                <c:pt idx="0">
                  <c:v>2020年</c:v>
                </c:pt>
                <c:pt idx="1">
                  <c:v>2021年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3.53</c:v>
                </c:pt>
                <c:pt idx="1">
                  <c:v>3.21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DFF2-441B-AA14-ADE766E9AE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64373632"/>
        <c:axId val="164375168"/>
      </c:lineChart>
      <c:catAx>
        <c:axId val="16437363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4375168"/>
        <c:crosses val="autoZero"/>
        <c:auto val="1"/>
        <c:lblAlgn val="ctr"/>
        <c:lblOffset val="100"/>
        <c:noMultiLvlLbl val="0"/>
      </c:catAx>
      <c:valAx>
        <c:axId val="16437516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zh-CN"/>
          </a:p>
        </c:txPr>
        <c:crossAx val="164373632"/>
        <c:crosses val="autoZero"/>
        <c:crossBetween val="between"/>
      </c:valAx>
    </c:plotArea>
    <c:legend>
      <c:legendPos val="r"/>
      <c:overlay val="0"/>
      <c:txPr>
        <a:bodyPr rot="0" spcFirstLastPara="0" vertOverflow="ellipsis" vert="horz" wrap="square" anchor="ctr" anchorCtr="1"/>
        <a:lstStyle/>
        <a:p>
          <a:pPr>
            <a:defRPr lang="zh-CN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zh-CN"/>
        </a:p>
      </c:txPr>
    </c:legend>
    <c:plotVisOnly val="1"/>
    <c:dispBlanksAs val="gap"/>
    <c:showDLblsOverMax val="0"/>
  </c:chart>
  <c:spPr>
    <a:ln w="9525" cap="flat" cmpd="sng" algn="ctr">
      <a:noFill/>
      <a:prstDash val="solid"/>
      <a:round/>
    </a:ln>
  </c:spPr>
  <c:txPr>
    <a:bodyPr/>
    <a:lstStyle/>
    <a:p>
      <a:pPr>
        <a:defRPr lang="zh-CN"/>
      </a:pPr>
      <a:endParaRPr lang="zh-CN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8</Pages>
  <Words>342</Words>
  <Characters>1956</Characters>
  <Application>Microsoft Office Word</Application>
  <DocSecurity>0</DocSecurity>
  <Lines>16</Lines>
  <Paragraphs>4</Paragraphs>
  <ScaleCrop>false</ScaleCrop>
  <Company>Microsoft</Company>
  <LinksUpToDate>false</LinksUpToDate>
  <CharactersWithSpaces>2294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CSH</dc:creator>
  <cp:lastModifiedBy>Administrator</cp:lastModifiedBy>
  <cp:revision>100</cp:revision>
  <cp:lastPrinted>2021-03-16T07:06:00Z</cp:lastPrinted>
  <dcterms:created xsi:type="dcterms:W3CDTF">2019-06-27T08:19:00Z</dcterms:created>
  <dcterms:modified xsi:type="dcterms:W3CDTF">2022-03-30T09:38:00Z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